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1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
&lt;options&gt;&lt;![CDATA[decimallen=2;caption=季度分析报告2019;groupnum=false;id=DT6LUS3UU5JU02DTZKYU6LS4YFTIF6FL;name=JDFX_2019;this-reportid=EBI$12$DT6LUS3UU5JU02DTZKYU6LS4YFTIF6FL$1$ENO3248MN9SW2UQNKUU4PINFNCNP5SLU.doc;viewtype=]]&gt;&lt;/options&gt;
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3" o:spid="_x0000_s3" fillcolor="#FFFFFF" stroked="t" style="position:absolute;margin-left:0.0pt;margin-top:0.0pt;width:0.074998856pt;height:0.074998856pt;z-index:10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
&lt;options&gt;&lt;![CDATA[decimallen=2;caption=季度分析报告2019;groupnum=false;id=DT6LUS3UU5JU02DTZKYU6LS4YFTIF6FL;name=JDFX_2019;this-reportid=EBI$12$DT6LUS3UU5JU02DTZKYU6LS4YFTIF6FL$1$ENO3248MN9SW2UQNKUU4PINFNCNP5SLU.doc;viewtype=]]&gt;&lt;/options&gt;
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广西药品监督管理</w:t>
      </w:r>
    </w:p>
    <w:p>
      <w:pPr>
        <w:bidi w:val="0"/>
        <w:jc w:val="center"/>
        <w:rPr>
          <w:rFonts w:ascii="方正小标宋简体" w:eastAsia="方正小标宋简体" w:hint="eastAsia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>
        <w:rPr>
          <w:rFonts w:ascii="方正小标宋简体" w:eastAsia="方正小标宋简体"/>
          <w:sz w:val="44"/>
          <w:szCs w:val="44"/>
        </w:rPr>
        <w:t>三</w:t>
      </w:r>
      <w:r>
        <w:rPr>
          <w:rFonts w:ascii="方正小标宋简体" w:eastAsia="方正小标宋简体" w:hint="eastAsia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spacing w:before="312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ascii="黑体" w:eastAsia="黑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</w:t>
      </w:r>
      <w:r>
        <w:rPr>
          <w:rFonts w:ascii="方正小标宋简体" w:eastAsia="方正小标宋简体"/>
          <w:sz w:val="36"/>
          <w:szCs w:val="36"/>
        </w:rPr>
        <w:t>11</w:t>
      </w:r>
      <w:r>
        <w:rPr>
          <w:rFonts w:ascii="方正小标宋简体" w:eastAsia="方正小标宋简体" w:hint="eastAsia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spacing w:val="4"/>
          <w:sz w:val="32"/>
          <w:szCs w:val="32"/>
        </w:rPr>
        <w:t>年定期统计报表制度》的第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7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9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月3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0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日。</w:t>
      </w:r>
      <w:r>
        <w:rPr>
          <w:rFonts w:ascii="仿宋_GB2312" w:eastAsia="仿宋_GB2312" w:hint="eastAsia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一、药品日常监管情况………………………………………………………3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二、</w:t>
      </w:r>
      <w:r>
        <w:rPr>
          <w:rFonts w:ascii="仿宋_GB2312" w:eastAsia="仿宋_GB2312" w:hint="eastAsia"/>
          <w:color w:val="000000"/>
          <w:sz w:val="28"/>
          <w:u w:val="none"/>
        </w:rPr>
        <w:t>医疗器械监管情况</w:t>
      </w:r>
      <w:r>
        <w:rPr>
          <w:rFonts w:ascii="仿宋_GB2312" w:eastAsia="仿宋_GB2312" w:hint="eastAsia"/>
          <w:sz w:val="28"/>
        </w:rPr>
        <w:t>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三、</w:t>
      </w:r>
      <w:r>
        <w:rPr>
          <w:rFonts w:eastAsia="仿宋_GB2312" w:hint="eastAsia"/>
          <w:color w:val="000000"/>
          <w:sz w:val="28"/>
          <w:szCs w:val="28"/>
          <w:u w:val="none"/>
        </w:rPr>
        <w:t>化妆品日常监管情况</w:t>
      </w:r>
      <w:r>
        <w:rPr>
          <w:rFonts w:ascii="仿宋_GB2312" w:eastAsia="仿宋_GB2312" w:hint="eastAsia"/>
          <w:sz w:val="28"/>
        </w:rPr>
        <w:t>……………………………………………………4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四、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全区查处违法“两品一械”案件情况</w:t>
      </w:r>
      <w:r>
        <w:rPr>
          <w:rFonts w:ascii="仿宋_GB2312" w:eastAsia="仿宋_GB2312" w:hint="eastAsia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五</w:t>
      </w:r>
      <w:r>
        <w:rPr>
          <w:rFonts w:ascii="仿宋_GB2312" w:eastAsia="仿宋_GB2312" w:hint="eastAsia"/>
          <w:sz w:val="28"/>
        </w:rPr>
        <w:t>、</w:t>
      </w:r>
      <w:r>
        <w:rPr>
          <w:rFonts w:eastAsia="仿宋_GB2312" w:hint="eastAsia"/>
          <w:color w:val="000000"/>
          <w:sz w:val="28"/>
          <w:szCs w:val="28"/>
          <w:u w:val="none"/>
        </w:rPr>
        <w:t>药品抽验情况</w:t>
      </w:r>
      <w:r>
        <w:rPr>
          <w:rFonts w:ascii="仿宋_GB2312" w:eastAsia="仿宋_GB2312" w:hint="eastAsia"/>
          <w:sz w:val="28"/>
        </w:rPr>
        <w:t>……………………………………………………………</w:t>
      </w:r>
      <w:r>
        <w:rPr>
          <w:rFonts w:ascii="仿宋_GB2312" w:eastAsia="仿宋_GB2312"/>
          <w:sz w:val="28"/>
        </w:rPr>
        <w:t>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附表1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/>
          <w:spacing w:val="-4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附表2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全区药品经营企业日常监管情况</w:t>
      </w:r>
      <w:r>
        <w:rPr>
          <w:rFonts w:ascii="仿宋_GB2312" w:eastAsia="仿宋_GB2312" w:hint="eastAsia"/>
          <w:spacing w:val="-4"/>
          <w:sz w:val="28"/>
        </w:rPr>
        <w:t xml:space="preserve">………………………………… </w:t>
      </w:r>
      <w:r>
        <w:rPr>
          <w:rFonts w:ascii="仿宋_GB2312" w:eastAsia="仿宋_GB2312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附表3  全</w:t>
      </w:r>
      <w:r>
        <w:rPr>
          <w:rFonts w:eastAsia="仿宋_GB2312" w:hint="eastAsia"/>
          <w:color w:val="000000"/>
          <w:sz w:val="28"/>
          <w:szCs w:val="28"/>
          <w:u w:val="none"/>
        </w:rPr>
        <w:t>区医疗器械注册证审批情况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8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附表4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附表5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附表6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附表7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ascii="仿宋_GB2312" w:eastAsia="仿宋_GB2312" w:hint="eastAsia"/>
          <w:sz w:val="28"/>
        </w:rPr>
        <w:t>…………………………1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附表8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全区化妆品生产日常监管情况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附表9  </w:t>
      </w:r>
      <w:r>
        <w:rPr>
          <w:rFonts w:eastAsia="仿宋_GB2312" w:hint="eastAsia"/>
          <w:color w:val="000000"/>
          <w:sz w:val="28"/>
          <w:szCs w:val="28"/>
          <w:u w:val="none"/>
        </w:rPr>
        <w:t>各地查处违法案件情况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全区查处违法药品案件情况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全区查处违法医疗器械案件情况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全区违法化妆品案件查处情况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地方药品抽验情况</w:t>
      </w:r>
      <w:r>
        <w:rPr>
          <w:rFonts w:ascii="仿宋_GB2312" w:eastAsia="仿宋_GB2312" w:hint="eastAsia"/>
          <w:spacing w:val="-8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 xml:space="preserve">…… </w:t>
      </w:r>
      <w:r>
        <w:rPr>
          <w:rFonts w:ascii="仿宋_GB2312" w:eastAsia="仿宋_GB2312"/>
          <w:sz w:val="28"/>
        </w:rPr>
        <w:t>18</w:t>
      </w:r>
    </w:p>
    <w:p>
      <w:pPr>
        <w:spacing w:line="58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44"/>
          <w:szCs w:val="44"/>
        </w:rPr>
        <w:sectPr>
          <w:footerReference w:type="default" r:id="rId2"/>
          <w:footerReference w:type="even" r:id="rId3"/>
          <w:pgSz w:w="11906" w:h="16838"/>
          <w:pgMar w:top="1928" w:right="1361" w:bottom="1928" w:left="1588" w:header="720" w:footer="1531" w:gutter="0"/>
          <w:pgNumType w:start="0"/>
          <w:titlePg/>
          <w:docGrid w:type="linesAndChars" w:linePitch="312" w:charSpace="-817"/>
        </w:sectPr>
      </w:pP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一、</w:t>
      </w:r>
      <w:r>
        <w:rPr>
          <w:rFonts w:ascii="黑体" w:eastAsia="黑体" w:hint="eastAsia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季度，全区共检查药品生产企业</w:t>
      </w:r>
      <w:r>
        <w:rPr>
          <w:rFonts w:ascii="仿宋_GB2312" w:eastAsia="仿宋_GB2312"/>
          <w:sz w:val="32"/>
          <w:szCs w:val="32"/>
        </w:rPr>
        <w:t>388</w:t>
      </w:r>
      <w:r>
        <w:rPr>
          <w:rFonts w:ascii="仿宋_GB2312" w:eastAsia="仿宋_GB2312" w:hint="eastAsia"/>
          <w:sz w:val="32"/>
          <w:szCs w:val="32"/>
        </w:rPr>
        <w:t>家次，发现违法违规的生产企业</w:t>
      </w:r>
      <w:r>
        <w:rPr>
          <w:rFonts w:ascii="仿宋_GB2312" w:eastAsia="仿宋_GB2312"/>
          <w:sz w:val="32"/>
          <w:szCs w:val="32"/>
        </w:rPr>
        <w:t>71</w:t>
      </w:r>
      <w:r>
        <w:rPr>
          <w:rFonts w:ascii="仿宋_GB2312" w:eastAsia="仿宋_GB2312" w:hint="eastAsia"/>
          <w:sz w:val="32"/>
          <w:szCs w:val="32"/>
        </w:rPr>
        <w:t>家次，完成整改</w:t>
      </w:r>
      <w:r>
        <w:rPr>
          <w:rFonts w:ascii="仿宋_GB2312" w:eastAsia="仿宋_GB2312"/>
          <w:sz w:val="32"/>
          <w:szCs w:val="32"/>
        </w:rPr>
        <w:t>91</w:t>
      </w:r>
      <w:r>
        <w:rPr>
          <w:rFonts w:ascii="仿宋_GB2312" w:eastAsia="仿宋_GB2312" w:hint="eastAsia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（二）药品经营企业日常监管情况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季度，全区共检查药品批发企业</w:t>
      </w:r>
      <w:r>
        <w:rPr>
          <w:rFonts w:ascii="仿宋_GB2312" w:eastAsia="仿宋_GB2312"/>
          <w:sz w:val="32"/>
          <w:szCs w:val="32"/>
        </w:rPr>
        <w:t>139</w:t>
      </w:r>
      <w:r>
        <w:rPr>
          <w:rFonts w:ascii="仿宋_GB2312" w:eastAsia="仿宋_GB2312" w:hint="eastAsia"/>
          <w:sz w:val="32"/>
          <w:szCs w:val="32"/>
        </w:rPr>
        <w:t>家次，药品零售企业</w:t>
      </w:r>
      <w:r>
        <w:rPr>
          <w:rFonts w:ascii="仿宋_GB2312" w:eastAsia="仿宋_GB2312"/>
          <w:sz w:val="32"/>
          <w:szCs w:val="32"/>
        </w:rPr>
        <w:t>9075</w:t>
      </w:r>
      <w:r>
        <w:rPr>
          <w:rFonts w:ascii="仿宋_GB2312" w:eastAsia="仿宋_GB2312" w:hint="eastAsia"/>
          <w:sz w:val="32"/>
          <w:szCs w:val="32"/>
        </w:rPr>
        <w:t>家次，发现违法违规的经营企业共</w:t>
      </w:r>
      <w:r>
        <w:rPr>
          <w:rFonts w:ascii="仿宋_GB2312" w:eastAsia="仿宋_GB2312"/>
          <w:sz w:val="32"/>
          <w:szCs w:val="32"/>
        </w:rPr>
        <w:t>825</w:t>
      </w:r>
      <w:r>
        <w:rPr>
          <w:rFonts w:ascii="仿宋_GB2312" w:eastAsia="仿宋_GB2312" w:hint="eastAsia"/>
          <w:sz w:val="32"/>
          <w:szCs w:val="32"/>
        </w:rPr>
        <w:t>家次，完成整改共</w:t>
      </w:r>
      <w:r>
        <w:rPr>
          <w:rFonts w:ascii="仿宋_GB2312" w:eastAsia="仿宋_GB2312"/>
          <w:sz w:val="32"/>
          <w:szCs w:val="32"/>
        </w:rPr>
        <w:t>608</w:t>
      </w:r>
      <w:r>
        <w:rPr>
          <w:rFonts w:ascii="仿宋_GB2312" w:eastAsia="仿宋_GB2312" w:hint="eastAsia"/>
          <w:sz w:val="32"/>
          <w:szCs w:val="32"/>
        </w:rPr>
        <w:t>家次。（详见附表2）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bCs w:val="0"/>
          <w:sz w:val="32"/>
          <w:szCs w:val="32"/>
        </w:rPr>
      </w:pPr>
      <w:r>
        <w:rPr>
          <w:rFonts w:ascii="黑体" w:eastAsia="黑体" w:hint="eastAsia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ascii="仿宋_GB2312" w:eastAsia="仿宋_GB2312" w:hint="eastAsia"/>
          <w:sz w:val="32"/>
          <w:szCs w:val="32"/>
        </w:rPr>
        <w:t>注册证</w:t>
      </w:r>
      <w:r>
        <w:rPr>
          <w:rFonts w:ascii="仿宋_GB2312" w:eastAsia="仿宋_GB2312"/>
          <w:sz w:val="32"/>
          <w:szCs w:val="32"/>
        </w:rPr>
        <w:t>673</w:t>
      </w:r>
      <w:r>
        <w:rPr>
          <w:rFonts w:ascii="仿宋_GB2312" w:eastAsia="仿宋_GB2312" w:hint="eastAsia"/>
          <w:sz w:val="32"/>
          <w:szCs w:val="32"/>
        </w:rPr>
        <w:t>件，Ⅱ类医疗器械注册证</w:t>
      </w:r>
      <w:r>
        <w:rPr>
          <w:rFonts w:ascii="仿宋_GB2312" w:eastAsia="仿宋_GB2312"/>
          <w:sz w:val="32"/>
          <w:szCs w:val="32"/>
        </w:rPr>
        <w:t>887</w:t>
      </w:r>
      <w:r>
        <w:rPr>
          <w:rFonts w:ascii="仿宋_GB2312" w:eastAsia="仿宋_GB2312" w:hint="eastAsia"/>
          <w:sz w:val="32"/>
          <w:szCs w:val="32"/>
        </w:rPr>
        <w:t>件。其中，Ⅱ类医疗器械批准首次注册</w:t>
      </w:r>
      <w:r>
        <w:rPr>
          <w:rFonts w:ascii="仿宋_GB2312" w:eastAsia="仿宋_GB2312"/>
          <w:sz w:val="32"/>
          <w:szCs w:val="32"/>
        </w:rPr>
        <w:t>128</w:t>
      </w:r>
      <w:r>
        <w:rPr>
          <w:rFonts w:ascii="仿宋_GB2312" w:eastAsia="仿宋_GB2312" w:hint="eastAsia"/>
          <w:sz w:val="32"/>
          <w:szCs w:val="32"/>
        </w:rPr>
        <w:t>件。（详见附表3）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9月底</w:t>
      </w:r>
      <w:r>
        <w:rPr>
          <w:rFonts w:ascii="仿宋_GB2312" w:eastAsia="仿宋_GB2312" w:hint="eastAsia"/>
          <w:sz w:val="32"/>
          <w:szCs w:val="32"/>
        </w:rPr>
        <w:t>，全区共有医疗器械生产企业</w:t>
      </w:r>
      <w:r>
        <w:rPr>
          <w:rFonts w:ascii="仿宋_GB2312" w:eastAsia="仿宋_GB2312"/>
          <w:sz w:val="32"/>
          <w:szCs w:val="32"/>
        </w:rPr>
        <w:t>380</w:t>
      </w:r>
      <w:r>
        <w:rPr>
          <w:rFonts w:ascii="仿宋_GB2312" w:eastAsia="仿宋_GB2312" w:hint="eastAsia"/>
          <w:sz w:val="32"/>
          <w:szCs w:val="32"/>
        </w:rPr>
        <w:t>家，生产一类产品的有</w:t>
      </w:r>
      <w:r>
        <w:rPr>
          <w:rFonts w:ascii="仿宋_GB2312" w:eastAsia="仿宋_GB2312"/>
          <w:sz w:val="32"/>
          <w:szCs w:val="32"/>
        </w:rPr>
        <w:t>187</w:t>
      </w:r>
      <w:r>
        <w:rPr>
          <w:rFonts w:ascii="仿宋_GB2312" w:eastAsia="仿宋_GB2312" w:hint="eastAsia"/>
          <w:sz w:val="32"/>
          <w:szCs w:val="32"/>
        </w:rPr>
        <w:t>家，生产二类产品的有</w:t>
      </w:r>
      <w:r>
        <w:rPr>
          <w:rFonts w:ascii="仿宋_GB2312" w:eastAsia="仿宋_GB2312"/>
          <w:sz w:val="32"/>
          <w:szCs w:val="32"/>
        </w:rPr>
        <w:t>224</w:t>
      </w:r>
      <w:r>
        <w:rPr>
          <w:rFonts w:ascii="仿宋_GB2312" w:eastAsia="仿宋_GB2312" w:hint="eastAsia"/>
          <w:sz w:val="32"/>
          <w:szCs w:val="32"/>
        </w:rPr>
        <w:t>家，生产三类产品的有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家。（详见附表4）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cs="Times New Roman" w:hint="eastAsia"/>
          <w:b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9月底</w:t>
      </w:r>
      <w:r>
        <w:rPr>
          <w:rFonts w:ascii="仿宋_GB2312" w:eastAsia="仿宋_GB2312" w:hint="eastAsia"/>
          <w:sz w:val="32"/>
          <w:szCs w:val="32"/>
        </w:rPr>
        <w:t>，仅经营二类医疗器械产品的企业</w:t>
      </w:r>
      <w:r>
        <w:rPr>
          <w:rFonts w:ascii="仿宋_GB2312" w:eastAsia="仿宋_GB2312"/>
          <w:sz w:val="32"/>
          <w:szCs w:val="32"/>
        </w:rPr>
        <w:t>25910</w:t>
      </w:r>
      <w:r>
        <w:rPr>
          <w:rFonts w:ascii="仿宋_GB2312" w:eastAsia="仿宋_GB2312" w:hint="eastAsia"/>
          <w:sz w:val="32"/>
          <w:szCs w:val="32"/>
        </w:rPr>
        <w:t>家，仅经营三类医疗器械产品的企业</w:t>
      </w:r>
      <w:r>
        <w:rPr>
          <w:rFonts w:ascii="仿宋_GB2312" w:eastAsia="仿宋_GB2312"/>
          <w:sz w:val="32"/>
          <w:szCs w:val="32"/>
        </w:rPr>
        <w:t>1132</w:t>
      </w:r>
      <w:r>
        <w:rPr>
          <w:rFonts w:ascii="仿宋_GB2312" w:eastAsia="仿宋_GB2312" w:hint="eastAsia"/>
          <w:sz w:val="32"/>
          <w:szCs w:val="32"/>
        </w:rPr>
        <w:t>家，同时经营二、三类医疗器械产品的企业</w:t>
      </w:r>
      <w:r>
        <w:rPr>
          <w:rFonts w:ascii="仿宋_GB2312" w:eastAsia="仿宋_GB2312"/>
          <w:sz w:val="32"/>
          <w:szCs w:val="32"/>
        </w:rPr>
        <w:t>4028</w:t>
      </w:r>
      <w:r>
        <w:rPr>
          <w:rFonts w:ascii="仿宋_GB2312" w:eastAsia="仿宋_GB2312" w:hint="eastAsia"/>
          <w:sz w:val="32"/>
          <w:szCs w:val="32"/>
        </w:rPr>
        <w:t>家，医疗器械网络交易服务第三方平台期末实有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件。（详见附表5）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（四）医疗器械生产日常监管情况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，各级监管机构共检查医疗器械生产企业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242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家次。全面检查高风险企业</w:t>
      </w:r>
      <w:r>
        <w:rPr>
          <w:rFonts w:ascii="仿宋_GB2312" w:eastAsia="仿宋_GB2312" w:cs="Times New Roman"/>
          <w:sz w:val="32"/>
          <w:szCs w:val="32"/>
          <w:lang w:bidi="ar-SA"/>
        </w:rPr>
        <w:t>61家次，其中，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无菌医疗器械生产企业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54家次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</w:t>
      </w:r>
      <w:r>
        <w:rPr>
          <w:rFonts w:ascii="仿宋_GB2312" w:eastAsia="仿宋_GB2312" w:cs="Times New Roman"/>
          <w:sz w:val="32"/>
          <w:szCs w:val="32"/>
          <w:lang w:bidi="ar-SA"/>
        </w:rPr>
        <w:t>第三类医疗器械生产企业7家次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省级及以下组织飞行检查31家次，停产整顿5家次。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（详见附表6）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cs="Times New Roman" w:hAnsi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共9456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</w:t>
      </w:r>
      <w:r>
        <w:rPr>
          <w:rFonts w:ascii="仿宋_GB2312" w:eastAsia="仿宋_GB2312" w:cs="Times New Roman"/>
          <w:sz w:val="32"/>
          <w:szCs w:val="32"/>
          <w:lang w:bidi="ar-SA"/>
        </w:rPr>
        <w:t>，省级及以下组织飞行检查45家次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存在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违法违规的企业或单位</w:t>
      </w:r>
      <w:r>
        <w:rPr>
          <w:rFonts w:ascii="仿宋_GB2312" w:eastAsia="仿宋_GB2312" w:cs="Times New Roman"/>
          <w:sz w:val="32"/>
          <w:szCs w:val="32"/>
          <w:lang w:bidi="ar-SA"/>
        </w:rPr>
        <w:t>438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企业或单位372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家次。（详见附表7）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 xml:space="preserve"> </w:t>
      </w:r>
    </w:p>
    <w:p>
      <w:pPr>
        <w:pStyle w:val="1"/>
        <w:bidi w:val="0"/>
        <w:spacing w:before="0" w:after="0" w:line="560" w:lineRule="exact"/>
        <w:ind w:left="640"/>
        <w:rPr>
          <w:rFonts w:ascii="黑体" w:eastAsia="黑体" w:hint="eastAsia"/>
          <w:b w:val="0"/>
          <w:color w:val="00000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ascii="黑体" w:eastAsia="黑体" w:hint="eastAsia"/>
          <w:b w:val="0"/>
          <w:sz w:val="32"/>
          <w:szCs w:val="32"/>
        </w:rPr>
        <w:t>日常监管情况</w:t>
      </w:r>
    </w:p>
    <w:p>
      <w:pPr>
        <w:spacing w:line="56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</w:t>
      </w:r>
      <w:r>
        <w:rPr>
          <w:rFonts w:ascii="仿宋_GB2312" w:eastAsia="仿宋_GB2312" w:hint="eastAsia"/>
          <w:color w:val="000000"/>
          <w:sz w:val="32"/>
          <w:szCs w:val="32"/>
        </w:rPr>
        <w:t>全区共检查化妆品生产企业</w:t>
      </w:r>
      <w:r>
        <w:rPr>
          <w:rFonts w:ascii="仿宋_GB2312" w:eastAsia="仿宋_GB2312"/>
          <w:color w:val="000000"/>
          <w:sz w:val="32"/>
          <w:szCs w:val="32"/>
        </w:rPr>
        <w:t>64</w:t>
      </w:r>
      <w:r>
        <w:rPr>
          <w:rFonts w:ascii="仿宋_GB2312" w:eastAsia="仿宋_GB2312" w:hint="eastAsia"/>
          <w:color w:val="000000"/>
          <w:sz w:val="32"/>
          <w:szCs w:val="32"/>
        </w:rPr>
        <w:t>家次，抽验化妆品</w:t>
      </w:r>
      <w:r>
        <w:rPr>
          <w:rFonts w:ascii="仿宋_GB2312" w:eastAsia="仿宋_GB2312"/>
          <w:color w:val="000000"/>
          <w:sz w:val="32"/>
          <w:szCs w:val="32"/>
        </w:rPr>
        <w:t>932</w:t>
      </w:r>
      <w:r>
        <w:rPr>
          <w:rFonts w:ascii="仿宋_GB2312" w:eastAsia="仿宋_GB2312" w:hint="eastAsia"/>
          <w:color w:val="000000"/>
          <w:sz w:val="32"/>
          <w:szCs w:val="32"/>
        </w:rPr>
        <w:t>批次。（详见附表8）</w:t>
      </w:r>
    </w:p>
    <w:p>
      <w:pPr>
        <w:pStyle w:val="1"/>
        <w:bidi w:val="0"/>
        <w:spacing w:before="0" w:after="0" w:line="52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ascii="黑体" w:eastAsia="黑体" w:hint="eastAsia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季度，全区查处违法“两品一械”案件共</w:t>
      </w:r>
      <w:r>
        <w:rPr>
          <w:rFonts w:ascii="仿宋_GB2312" w:eastAsia="仿宋_GB2312"/>
          <w:sz w:val="32"/>
          <w:szCs w:val="32"/>
        </w:rPr>
        <w:t>1240</w:t>
      </w:r>
      <w:r>
        <w:rPr>
          <w:rFonts w:ascii="仿宋_GB2312" w:eastAsia="仿宋_GB2312" w:hint="eastAsia"/>
          <w:sz w:val="32"/>
          <w:szCs w:val="32"/>
        </w:rPr>
        <w:t>件，其中一般程序案件</w:t>
      </w:r>
      <w:r>
        <w:rPr>
          <w:rFonts w:ascii="仿宋_GB2312" w:eastAsia="仿宋_GB2312"/>
          <w:sz w:val="32"/>
          <w:szCs w:val="32"/>
        </w:rPr>
        <w:t>1111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129</w:t>
      </w:r>
      <w:r>
        <w:rPr>
          <w:rFonts w:ascii="仿宋_GB2312" w:eastAsia="仿宋_GB2312" w:hint="eastAsia"/>
          <w:sz w:val="32"/>
          <w:szCs w:val="32"/>
        </w:rPr>
        <w:t>件。全区各市查处案件情况详见附表</w:t>
      </w:r>
      <w:r>
        <w:rPr>
          <w:rFonts w:ascii="仿宋_GB2312" w:eastAsia="仿宋_GB2312"/>
          <w:sz w:val="32"/>
          <w:szCs w:val="32"/>
        </w:rPr>
        <w:t>9。</w:t>
      </w:r>
    </w:p>
    <w:p>
      <w:pPr>
        <w:bidi w:val="0"/>
        <w:spacing w:line="52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10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季度，全区共查处药品一般程序案件</w:t>
      </w:r>
      <w:r>
        <w:rPr>
          <w:rFonts w:ascii="仿宋_GB2312" w:eastAsia="仿宋_GB2312"/>
          <w:sz w:val="32"/>
          <w:szCs w:val="32"/>
        </w:rPr>
        <w:t>492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118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查处药品一般程序案件货值金额</w:t>
      </w:r>
      <w:r>
        <w:rPr>
          <w:rFonts w:ascii="仿宋_GB2312" w:eastAsia="仿宋_GB2312"/>
          <w:sz w:val="32"/>
          <w:szCs w:val="32"/>
        </w:rPr>
        <w:t>40.41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227.60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没收违法所得金额</w:t>
      </w:r>
      <w:r>
        <w:rPr>
          <w:rFonts w:ascii="仿宋_GB2312" w:eastAsia="仿宋_GB2312"/>
          <w:sz w:val="32"/>
          <w:szCs w:val="32"/>
        </w:rPr>
        <w:t>11.53</w:t>
      </w:r>
      <w:r>
        <w:rPr>
          <w:rFonts w:ascii="仿宋_GB2312" w:eastAsia="仿宋_GB2312" w:hint="eastAsia"/>
          <w:sz w:val="32"/>
          <w:szCs w:val="32"/>
        </w:rPr>
        <w:t>万元，责令</w:t>
      </w:r>
      <w:r>
        <w:rPr>
          <w:rFonts w:ascii="仿宋_GB2312" w:eastAsia="仿宋_GB2312"/>
          <w:sz w:val="32"/>
          <w:szCs w:val="32"/>
        </w:rPr>
        <w:t>关闭1</w:t>
      </w:r>
      <w:r>
        <w:rPr>
          <w:rFonts w:ascii="仿宋_GB2312" w:eastAsia="仿宋_GB2312" w:hint="eastAsia"/>
          <w:sz w:val="32"/>
          <w:szCs w:val="32"/>
        </w:rPr>
        <w:t>户，移送司法机关案件数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件，行政处罚案件信息公开数</w:t>
      </w:r>
      <w:r>
        <w:rPr>
          <w:rFonts w:ascii="仿宋_GB2312" w:eastAsia="仿宋_GB2312"/>
          <w:sz w:val="32"/>
          <w:szCs w:val="32"/>
        </w:rPr>
        <w:t>427</w:t>
      </w:r>
      <w:r>
        <w:rPr>
          <w:rFonts w:ascii="仿宋_GB2312" w:eastAsia="仿宋_GB2312" w:hint="eastAsia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第3季度违法药品一般程序案件和简易程序案件货值均为10</w:t>
      </w:r>
      <w:r>
        <w:rPr>
          <w:rFonts w:ascii="仿宋_GB2312" w:eastAsia="仿宋_GB2312" w:hint="eastAsia"/>
          <w:sz w:val="32"/>
          <w:szCs w:val="32"/>
        </w:rPr>
        <w:t>万元以下。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季度，查处药品一般程序案件的主要渠道为日常监管和专项检查、</w:t>
      </w:r>
      <w:r>
        <w:rPr>
          <w:rFonts w:ascii="仿宋_GB2312" w:eastAsia="仿宋_GB2312"/>
          <w:sz w:val="32"/>
          <w:szCs w:val="32"/>
        </w:rPr>
        <w:t>投诉举报、</w:t>
      </w:r>
      <w:r>
        <w:rPr>
          <w:rFonts w:ascii="仿宋_GB2312" w:eastAsia="仿宋_GB2312" w:hint="eastAsia"/>
          <w:sz w:val="32"/>
          <w:szCs w:val="32"/>
        </w:rPr>
        <w:t>监督抽验，分别为</w:t>
      </w:r>
      <w:r>
        <w:rPr>
          <w:rFonts w:ascii="仿宋_GB2312" w:eastAsia="仿宋_GB2312"/>
          <w:sz w:val="32"/>
          <w:szCs w:val="32"/>
        </w:rPr>
        <w:t>438</w:t>
      </w:r>
      <w:r>
        <w:rPr>
          <w:rFonts w:ascii="仿宋_GB2312" w:eastAsia="仿宋_GB2312" w:hint="eastAsia"/>
          <w:sz w:val="32"/>
          <w:szCs w:val="32"/>
        </w:rPr>
        <w:t>件、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、22件</w:t>
      </w:r>
      <w:r>
        <w:rPr>
          <w:rFonts w:ascii="仿宋_GB2312" w:eastAsia="仿宋_GB2312" w:hint="eastAsia"/>
          <w:sz w:val="32"/>
          <w:szCs w:val="32"/>
        </w:rPr>
        <w:t>，占一般程序案件总数的</w:t>
      </w:r>
      <w:r>
        <w:rPr>
          <w:rFonts w:ascii="仿宋_GB2312" w:eastAsia="仿宋_GB2312"/>
          <w:sz w:val="32"/>
          <w:szCs w:val="32"/>
        </w:rPr>
        <w:t>89.02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/>
          <w:sz w:val="32"/>
          <w:szCs w:val="32"/>
        </w:rPr>
        <w:t>、4.88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/>
          <w:sz w:val="32"/>
          <w:szCs w:val="32"/>
        </w:rPr>
        <w:t>、4.47%</w:t>
      </w:r>
      <w:r>
        <w:rPr>
          <w:rFonts w:ascii="仿宋_GB2312" w:eastAsia="仿宋_GB2312" w:hint="eastAsia"/>
          <w:sz w:val="32"/>
          <w:szCs w:val="32"/>
        </w:rPr>
        <w:t>。药品一般程序案件的违法主体以经营企业居多，为</w:t>
      </w:r>
      <w:r>
        <w:rPr>
          <w:rFonts w:ascii="仿宋_GB2312" w:eastAsia="仿宋_GB2312"/>
          <w:sz w:val="32"/>
          <w:szCs w:val="32"/>
        </w:rPr>
        <w:t>426</w:t>
      </w:r>
      <w:r>
        <w:rPr>
          <w:rFonts w:ascii="仿宋_GB2312" w:eastAsia="仿宋_GB2312" w:hint="eastAsia"/>
          <w:sz w:val="32"/>
          <w:szCs w:val="32"/>
        </w:rPr>
        <w:t>件，占案件总数</w:t>
      </w:r>
      <w:r>
        <w:rPr>
          <w:rFonts w:ascii="仿宋_GB2312" w:eastAsia="仿宋_GB2312"/>
          <w:sz w:val="32"/>
          <w:szCs w:val="32"/>
        </w:rPr>
        <w:t>86.59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11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246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，简易程序案件9件。</w:t>
      </w:r>
      <w:r>
        <w:rPr>
          <w:rFonts w:ascii="仿宋_GB2312" w:eastAsia="仿宋_GB2312" w:hint="eastAsia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案件货值金额</w:t>
      </w:r>
      <w:r>
        <w:rPr>
          <w:rFonts w:ascii="仿宋_GB2312" w:eastAsia="仿宋_GB2312"/>
          <w:sz w:val="32"/>
          <w:szCs w:val="32"/>
        </w:rPr>
        <w:t>938.65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罚款金额</w:t>
      </w:r>
      <w:r>
        <w:rPr>
          <w:rFonts w:ascii="仿宋_GB2312" w:eastAsia="仿宋_GB2312"/>
          <w:sz w:val="32"/>
          <w:szCs w:val="32"/>
        </w:rPr>
        <w:t>329.12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，没收违法所得7.52万元</w:t>
      </w:r>
      <w:r>
        <w:rPr>
          <w:rFonts w:ascii="仿宋_GB2312" w:eastAsia="仿宋_GB2312" w:hint="eastAsia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240</w:t>
      </w:r>
      <w:r>
        <w:rPr>
          <w:rFonts w:ascii="仿宋_GB2312" w:eastAsia="仿宋_GB2312" w:hint="eastAsia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97.56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案件的主要来源是日常监管和专项检查</w:t>
      </w:r>
      <w:r>
        <w:rPr>
          <w:rFonts w:ascii="仿宋_GB2312" w:eastAsia="仿宋_GB2312"/>
          <w:sz w:val="32"/>
          <w:szCs w:val="32"/>
        </w:rPr>
        <w:t>、投诉举报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分别为203件、17件</w:t>
      </w:r>
      <w:r>
        <w:rPr>
          <w:rFonts w:ascii="仿宋_GB2312" w:eastAsia="仿宋_GB2312" w:hint="eastAsia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82.52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/>
          <w:sz w:val="32"/>
          <w:szCs w:val="32"/>
        </w:rPr>
        <w:t>和6.91%</w:t>
      </w:r>
      <w:r>
        <w:rPr>
          <w:rFonts w:ascii="仿宋_GB2312" w:eastAsia="仿宋_GB2312" w:hint="eastAsia"/>
          <w:sz w:val="32"/>
          <w:szCs w:val="32"/>
        </w:rPr>
        <w:t>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经营企业、</w:t>
      </w:r>
      <w:r>
        <w:rPr>
          <w:rFonts w:ascii="仿宋_GB2312" w:eastAsia="仿宋_GB2312"/>
          <w:sz w:val="32"/>
          <w:szCs w:val="32"/>
        </w:rPr>
        <w:t>使用单位居多，</w:t>
      </w:r>
      <w:r>
        <w:rPr>
          <w:rFonts w:ascii="仿宋_GB2312" w:eastAsia="仿宋_GB2312" w:hint="eastAsia"/>
          <w:sz w:val="32"/>
          <w:szCs w:val="32"/>
        </w:rPr>
        <w:t>分别占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53.25</w:t>
      </w:r>
      <w:r>
        <w:rPr>
          <w:rFonts w:ascii="仿宋_GB2312" w:eastAsia="仿宋_GB2312" w:hint="eastAsia"/>
          <w:sz w:val="32"/>
          <w:szCs w:val="32"/>
        </w:rPr>
        <w:t>%、</w:t>
      </w:r>
      <w:r>
        <w:rPr>
          <w:rFonts w:ascii="仿宋_GB2312" w:eastAsia="仿宋_GB2312"/>
          <w:sz w:val="32"/>
          <w:szCs w:val="32"/>
        </w:rPr>
        <w:t>39.84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12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季度，全区查处违法化妆品一般程序案件</w:t>
      </w:r>
      <w:r>
        <w:rPr>
          <w:rFonts w:ascii="仿宋_GB2312" w:eastAsia="仿宋_GB2312"/>
          <w:sz w:val="32"/>
          <w:szCs w:val="32"/>
        </w:rPr>
        <w:t>373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2件</w:t>
      </w:r>
      <w:r>
        <w:rPr>
          <w:rFonts w:ascii="仿宋_GB2312" w:eastAsia="仿宋_GB2312" w:hint="eastAsia"/>
          <w:sz w:val="32"/>
          <w:szCs w:val="32"/>
        </w:rPr>
        <w:t>。一般程序案件中货值金额</w:t>
      </w:r>
      <w:r>
        <w:rPr>
          <w:rFonts w:ascii="仿宋_GB2312" w:eastAsia="仿宋_GB2312"/>
          <w:sz w:val="32"/>
          <w:szCs w:val="32"/>
        </w:rPr>
        <w:t>42.44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26.20</w:t>
      </w:r>
      <w:r>
        <w:rPr>
          <w:rFonts w:ascii="仿宋_GB2312" w:eastAsia="仿宋_GB2312" w:hint="eastAsia"/>
          <w:sz w:val="32"/>
          <w:szCs w:val="32"/>
        </w:rPr>
        <w:t>万元，没收违法所得金额</w:t>
      </w:r>
      <w:r>
        <w:rPr>
          <w:rFonts w:ascii="仿宋_GB2312" w:eastAsia="仿宋_GB2312"/>
          <w:sz w:val="32"/>
          <w:szCs w:val="32"/>
        </w:rPr>
        <w:t>6.02</w:t>
      </w:r>
      <w:r>
        <w:rPr>
          <w:rFonts w:ascii="仿宋_GB2312" w:eastAsia="仿宋_GB2312" w:hint="eastAsia"/>
          <w:sz w:val="32"/>
          <w:szCs w:val="32"/>
        </w:rPr>
        <w:t>万元，行政处罚案件信息公开数</w:t>
      </w:r>
      <w:r>
        <w:rPr>
          <w:rFonts w:ascii="仿宋_GB2312" w:eastAsia="仿宋_GB2312"/>
          <w:sz w:val="32"/>
          <w:szCs w:val="32"/>
        </w:rPr>
        <w:t>364</w:t>
      </w:r>
      <w:r>
        <w:rPr>
          <w:rFonts w:ascii="仿宋_GB2312" w:eastAsia="仿宋_GB2312" w:hint="eastAsia"/>
          <w:sz w:val="32"/>
          <w:szCs w:val="32"/>
        </w:rPr>
        <w:t>件。从案件来源看，主要来源于日常监管和专项检查，占一般程序案件总数的</w:t>
      </w:r>
      <w:r>
        <w:rPr>
          <w:rFonts w:ascii="仿宋_GB2312" w:eastAsia="仿宋_GB2312"/>
          <w:sz w:val="32"/>
          <w:szCs w:val="32"/>
        </w:rPr>
        <w:t>87.40</w:t>
      </w:r>
      <w:r>
        <w:rPr>
          <w:rFonts w:ascii="仿宋_GB2312" w:eastAsia="仿宋_GB2312" w:hint="eastAsia"/>
          <w:sz w:val="32"/>
          <w:szCs w:val="32"/>
        </w:rPr>
        <w:t>%。从货值划分看，货值2万元以下的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369件，占化妆品一般程序案件总数的98.93%</w:t>
      </w:r>
      <w:r>
        <w:rPr>
          <w:rFonts w:ascii="仿宋_GB2312" w:eastAsia="仿宋_GB2312" w:hint="eastAsia"/>
          <w:sz w:val="32"/>
          <w:szCs w:val="32"/>
        </w:rPr>
        <w:t>；从违法主体来看，主要是经营企业，占一般程序案件总数的</w:t>
      </w:r>
      <w:r>
        <w:rPr>
          <w:rFonts w:ascii="仿宋_GB2312" w:eastAsia="仿宋_GB2312"/>
          <w:sz w:val="32"/>
          <w:szCs w:val="32"/>
        </w:rPr>
        <w:t>65.62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六、药品抽验情况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hint="eastAsia"/>
          <w:spacing w:val="-4"/>
          <w:sz w:val="32"/>
          <w:szCs w:val="32"/>
        </w:rPr>
        <w:t>，共对</w:t>
      </w:r>
      <w:r>
        <w:rPr>
          <w:rFonts w:ascii="仿宋_GB2312" w:eastAsia="仿宋_GB2312"/>
          <w:spacing w:val="-4"/>
          <w:sz w:val="32"/>
          <w:szCs w:val="32"/>
        </w:rPr>
        <w:t>670</w:t>
      </w:r>
      <w:r>
        <w:rPr>
          <w:rFonts w:ascii="仿宋_GB2312" w:eastAsia="仿宋_GB2312" w:hint="eastAsia"/>
          <w:spacing w:val="-4"/>
          <w:sz w:val="32"/>
          <w:szCs w:val="32"/>
        </w:rPr>
        <w:t>家</w:t>
      </w:r>
      <w:r>
        <w:rPr>
          <w:rFonts w:ascii="仿宋_GB2312" w:eastAsia="仿宋_GB2312"/>
          <w:spacing w:val="-4"/>
          <w:sz w:val="32"/>
          <w:szCs w:val="32"/>
        </w:rPr>
        <w:t>次</w:t>
      </w:r>
      <w:r>
        <w:rPr>
          <w:rFonts w:ascii="仿宋_GB2312" w:eastAsia="仿宋_GB2312" w:hint="eastAsia"/>
          <w:spacing w:val="-4"/>
          <w:sz w:val="32"/>
          <w:szCs w:val="32"/>
        </w:rPr>
        <w:t>企业</w:t>
      </w:r>
      <w:r>
        <w:rPr>
          <w:rFonts w:ascii="仿宋_GB2312" w:eastAsia="仿宋_GB2312"/>
          <w:spacing w:val="-4"/>
          <w:sz w:val="32"/>
          <w:szCs w:val="32"/>
        </w:rPr>
        <w:t>1875</w:t>
      </w:r>
      <w:r>
        <w:rPr>
          <w:rFonts w:ascii="仿宋_GB2312" w:eastAsia="仿宋_GB2312" w:hint="eastAsia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。按药品类别分，抽验化学药品450批次，抽验中成药863批次；按抽验环节分，抽验生产环节548批次，抽验经营环节870批次，抽验使用环节457批次，</w:t>
      </w:r>
      <w:r>
        <w:rPr>
          <w:rFonts w:ascii="仿宋_GB2312" w:eastAsia="仿宋_GB2312" w:hint="eastAsia"/>
          <w:spacing w:val="-4"/>
          <w:sz w:val="32"/>
          <w:szCs w:val="32"/>
        </w:rPr>
        <w:t>不合格率</w:t>
      </w:r>
      <w:r>
        <w:rPr>
          <w:rFonts w:ascii="仿宋_GB2312" w:eastAsia="仿宋_GB2312"/>
          <w:spacing w:val="-4"/>
          <w:sz w:val="32"/>
          <w:szCs w:val="32"/>
        </w:rPr>
        <w:t>分别为2.37%、1.84%、1.97%</w:t>
      </w:r>
      <w:r>
        <w:rPr>
          <w:rFonts w:ascii="仿宋_GB2312" w:eastAsia="仿宋_GB2312" w:hint="eastAsia"/>
          <w:spacing w:val="-4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）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附表1</w:t>
      </w:r>
    </w:p>
    <w:p>
      <w:pPr>
        <w:pStyle w:val="1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全区药品生产日常监管情况</w:t>
      </w:r>
    </w:p>
    <w:tbl>
      <w:tblPr>
        <w:jc w:val="center"/>
        <w:tblW w:w="84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388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71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91</w:t>
            </w:r>
          </w:p>
        </w:tc>
      </w:tr>
    </w:tbl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附表2</w:t>
      </w:r>
    </w:p>
    <w:p>
      <w:pPr>
        <w:pStyle w:val="1"/>
        <w:spacing w:before="0" w:after="0" w:line="640" w:lineRule="exact"/>
        <w:jc w:val="center"/>
        <w:rPr>
          <w:rFonts w:eastAsia="方正小标宋简体" w:hint="eastAsia"/>
          <w:b w:val="0"/>
        </w:rPr>
      </w:pPr>
      <w:r>
        <w:rPr>
          <w:rFonts w:eastAsia="方正小标宋简体" w:hint="eastAsia"/>
          <w:b w:val="0"/>
        </w:rPr>
        <w:t>全区药品经营企业日常监管情况</w:t>
      </w:r>
    </w:p>
    <w:tbl>
      <w:tblPr>
        <w:jc w:val="center"/>
        <w:tblW w:w="8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1283"/>
        <w:gridCol w:w="1620"/>
        <w:gridCol w:w="1620"/>
      </w:tblGrid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139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9075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779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583</w:t>
            </w:r>
          </w:p>
        </w:tc>
      </w:tr>
    </w:tbl>
    <w:p>
      <w:pPr>
        <w:bidi w:val="0"/>
        <w:spacing w:line="300" w:lineRule="exact"/>
        <w:rPr>
          <w:rFonts w:ascii="黑体" w:eastAsia="黑体" w:hint="eastAsia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widowControl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附表3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rPr>
          <w:trHeight w:hRule="exact" w:val="623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623"/>
        </w:trPr>
        <w:tc>
          <w:tcPr>
            <w:tcW w:w="441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126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673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103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128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887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126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103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128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1506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附表4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8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rPr>
          <w:trHeight w:hRule="exact" w:val="623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623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187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224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19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380</w:t>
            </w:r>
          </w:p>
        </w:tc>
      </w:tr>
    </w:tbl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附表5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rPr>
          <w:trHeight w:hRule="exact" w:val="396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98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25910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1132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4028</w:t>
            </w:r>
          </w:p>
        </w:tc>
      </w:tr>
      <w:tr>
        <w:trPr>
          <w:trHeight w:hRule="exact" w:val="870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</w:t>
            </w:r>
          </w:p>
        </w:tc>
      </w:tr>
    </w:tbl>
    <w:p>
      <w:pPr>
        <w:bidi w:val="0"/>
        <w:rPr>
          <w:rFonts w:ascii="黑体" w:eastAsia="黑体" w:hint="eastAsia"/>
          <w:sz w:val="30"/>
          <w:szCs w:val="30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spacing w:before="0" w:after="0" w:line="560" w:lineRule="exact"/>
        <w:rPr>
          <w:rFonts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6</w:t>
      </w:r>
    </w:p>
    <w:p>
      <w:pPr>
        <w:pStyle w:val="1"/>
        <w:spacing w:before="0" w:after="0" w:line="56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全区医疗器械生产日常监管情况</w:t>
      </w:r>
    </w:p>
    <w:tbl>
      <w:tblPr>
        <w:jc w:val="center"/>
        <w:tblW w:w="9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242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54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7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31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</w:t>
            </w:r>
          </w:p>
        </w:tc>
      </w:tr>
    </w:tbl>
    <w:p>
      <w:pPr>
        <w:pStyle w:val="1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4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7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全区医疗器械经营、使用日常监管情况</w:t>
      </w:r>
    </w:p>
    <w:tbl>
      <w:tblPr>
        <w:jc w:val="center"/>
        <w:tblW w:w="9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9456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45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438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372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8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全区化妆品生产企业日常监管情况</w:t>
      </w:r>
    </w:p>
    <w:tbl>
      <w:tblPr>
        <w:jc w:val="center"/>
        <w:tblW w:w="8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64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932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22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9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各地查处违法案件情况</w:t>
      </w:r>
    </w:p>
    <w:tbl>
      <w:tblPr>
        <w:jc w:val="center"/>
        <w:tblW w:w="135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rPr>
          <w:trHeight w:hRule="exact" w:val="395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rPr>
          <w:trHeight w:hRule="exact" w:val="395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492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246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373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1111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118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eastAsia="宋体" w:cs="Arial" w:hAnsi="Arial"/>
                <w:sz w:val="20"/>
              </w:rPr>
            </w:pPr>
            <w:r>
              <w:rPr>
                <w:rFonts w:ascii="Arial" w:eastAsia="宋体" w:cs="Arial" w:hAnsi="Arial"/>
                <w:sz w:val="20"/>
              </w:rPr>
              <w:t>9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Arial" w:eastAsia="宋体" w:cs="Arial" w:hAnsi="Arial"/>
                <w:sz w:val="20"/>
              </w:rPr>
            </w:pPr>
            <w:r>
              <w:rPr>
                <w:rFonts w:ascii="Arial" w:eastAsia="宋体" w:cs="Arial" w:hAnsi="Arial"/>
                <w:sz w:val="20"/>
              </w:rPr>
              <w:t>2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129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1240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</w:t>
            </w:r>
            <w:r>
              <w:rPr>
                <w:rFonts w:ascii="微软雅黑" w:eastAsia="微软雅黑" w:cs="Arial" w:hint="eastAsia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3</w:t>
            </w:r>
            <w:r>
              <w:rPr>
                <w:rFonts w:ascii="微软雅黑" w:eastAsia="微软雅黑" w:cs="Arial" w:hint="eastAsia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3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</w:t>
            </w:r>
            <w:r>
              <w:rPr>
                <w:rFonts w:ascii="微软雅黑" w:eastAsia="微软雅黑" w:cs="Arial" w:hint="eastAsia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3</w:t>
            </w:r>
            <w:r>
              <w:rPr>
                <w:rFonts w:ascii="微软雅黑" w:eastAsia="微软雅黑" w:cs="Arial" w:hint="eastAsia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4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  <w:r>
              <w:rPr>
                <w:rFonts w:ascii="微软雅黑" w:eastAsia="微软雅黑" w:cs="Arial" w:hint="eastAsia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0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</w:t>
            </w:r>
            <w:r>
              <w:rPr>
                <w:rFonts w:ascii="微软雅黑" w:eastAsia="微软雅黑" w:cs="Arial" w:hint="eastAsia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1</w:t>
            </w:r>
          </w:p>
        </w:tc>
      </w:tr>
      <w:tr>
        <w:trPr>
          <w:trHeight w:hRule="exact" w:val="398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 w:hint="eastAsia"/>
                <w:szCs w:val="21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Arial"/>
                <w:sz w:val="24"/>
              </w:rPr>
            </w:pPr>
            <w:r>
              <w:rPr>
                <w:rFonts w:ascii="宋体" w:eastAsia="宋体" w:cs="Arial"/>
                <w:sz w:val="24"/>
              </w:rPr>
              <w:t>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80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94</w:t>
            </w:r>
          </w:p>
        </w:tc>
      </w:tr>
      <w:tr>
        <w:trPr>
          <w:trHeight w:hRule="exact" w:val="472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总计</w:t>
            </w:r>
          </w:p>
        </w:tc>
      </w:tr>
      <w:tr>
        <w:trPr>
          <w:trHeight w:hRule="exact" w:val="509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129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141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63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64</w:t>
            </w:r>
            <w:r>
              <w:rPr>
                <w:rFonts w:ascii="微软雅黑" w:eastAsia="微软雅黑" w:cs="Arial" w:hint="eastAsia"/>
                <w:szCs w:val="21"/>
              </w:rPr>
              <w:t xml:space="preserve">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70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83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184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222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222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34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37</w:t>
            </w:r>
            <w:r>
              <w:rPr>
                <w:rFonts w:ascii="微软雅黑" w:eastAsia="微软雅黑" w:cs="Arial" w:hint="eastAsia"/>
                <w:szCs w:val="21"/>
              </w:rPr>
              <w:t xml:space="preserve">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43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43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57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85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51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69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69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120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147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147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25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76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78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58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68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22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33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18"/>
              </w:rPr>
            </w:pPr>
            <w:r>
              <w:rPr>
                <w:rFonts w:ascii="微软雅黑" w:eastAsia="宋体" w:cs="Arial" w:hAnsi="微软雅黑"/>
                <w:color w:val="000000"/>
                <w:sz w:val="18"/>
              </w:rPr>
              <w:t xml:space="preserve">2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37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微软雅黑" w:eastAsia="微软雅黑" w:cs="Arial" w:hint="eastAsia"/>
                <w:szCs w:val="21"/>
              </w:rPr>
            </w:pPr>
            <w:r>
              <w:rPr>
                <w:rFonts w:ascii="微软雅黑" w:eastAsia="微软雅黑" w:cs="Arial"/>
                <w:szCs w:val="21"/>
              </w:rPr>
              <w:t>59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10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全区查处违法药品案件情况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492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118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438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113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492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118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
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426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111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40.41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0.01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227.6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0.1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11.53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427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445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1.16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rPr>
          <w:trHeight w:hRule="exact" w:val="684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12.90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39.52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2.87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5.74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10.03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33.78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2.71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69.2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0.92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0.13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26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1.79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69.07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97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2.11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59.87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2.11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59.87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全区查处违法医疗器械案件情况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246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203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240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131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4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5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938.65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329.12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7.52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219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221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10"/>
              </w:rPr>
            </w:pP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74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14.00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5.98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7.39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136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6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911.28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246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9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938.65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</w:tbl>
    <w:p>
      <w:pPr>
        <w:bidi w:val="0"/>
        <w:spacing w:before="240"/>
        <w:rPr>
          <w:rFonts w:eastAsia="仿宋_GB2312" w:hint="eastAsia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12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全区违法化妆品案件查处情况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373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28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326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369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244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53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76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42.44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0.01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0.05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26.20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0.01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6.02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15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364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 xml:space="preserve">366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13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地方药品抽验情况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jc w:val="center"/>
        <w:tblW w:w="7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60"/>
        <w:gridCol w:w="1440"/>
        <w:gridCol w:w="1260"/>
        <w:gridCol w:w="1260"/>
      </w:tblGrid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247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450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343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863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6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280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496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31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47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117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548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13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371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870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16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182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457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 xml:space="preserve">9 </w:t>
            </w:r>
          </w:p>
        </w:tc>
      </w:tr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  <w:rFonts w:ascii="微软雅黑" w:eastAsia="微软雅黑" w:hint="eastAsia"/>
                <w:sz w:val="22"/>
              </w:rPr>
            </w:pPr>
            <w:r>
              <w:rPr>
                <w:rStyle w:val="10"/>
                <w:rFonts w:ascii="微软雅黑" w:eastAsia="微软雅黑"/>
                <w:sz w:val="22"/>
              </w:rPr>
              <w:t>670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1875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2"/>
              </w:rPr>
            </w:pPr>
            <w:r>
              <w:rPr>
                <w:rFonts w:ascii="微软雅黑" w:eastAsia="宋体" w:cs="Arial" w:hAnsi="微软雅黑"/>
                <w:color w:val="000000"/>
                <w:sz w:val="22"/>
              </w:rPr>
              <w:t>38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bidi w:val="0"/>
      </w:pPr>
    </w:p>
    <w:p/>
    <w:p/>
    <w:sectPr>
      <w:headerReference w:type="default" r:id="rId4"/>
      <w:headerReference w:type="even" r:id="rId5"/>
      <w:pgSz w:w="11907" w:h="16840"/>
      <w:pgMar w:top="1531" w:right="1531" w:bottom="1531" w:left="1531" w:header="851" w:footer="992" w:gutter="0"/>
      <w:pgNumType w:start="1"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3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16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paragraph" w:styleId="18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1593</TotalTime>
  <Application>Yozo_Office</Application>
  <Pages>19</Pages>
  <Words>4992</Words>
  <Characters>5749</Characters>
  <Lines>1302</Lines>
  <Paragraphs>1159</Paragraphs>
  <CharactersWithSpaces>6120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2020-07-24T07:32:25Z</dcterms:created>
  <dcterms:modified xsi:type="dcterms:W3CDTF">2020-11-16T01:26:23Z</dcterms:modified>
</cp:coreProperties>
</file>