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A11FF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40" w:afterAutospacing="0" w:line="640" w:lineRule="exact"/>
        <w:ind w:left="0" w:leftChars="0" w:right="0" w:firstLine="0" w:firstLineChars="0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hd w:val="clear" w:fill="FFFFFF"/>
        </w:rPr>
      </w:pPr>
      <mc:AlternateContent>
        <mc:Choice Requires="wpsCustomData">
          <wpsCustomData:docfieldStart id="0" docfieldname="成文日期_1" hidden="0" print="1" readonly="0" index="12"/>
        </mc:Choice>
      </mc:AlternateContent>
      <w:r>
        <w:rPr>
          <w:rFonts w:hint="eastAsia" w:ascii="黑体" w:hAnsi="黑体" w:eastAsia="黑体" w:cs="黑体"/>
          <w:i w:val="0"/>
          <w:iCs w:val="0"/>
          <w:caps w:val="0"/>
          <w:color w:val="0F1115"/>
          <w:spacing w:val="0"/>
          <w:shd w:val="clear" w:fill="FFFFFF"/>
        </w:rPr>
        <w:t>附件1</w:t>
      </w:r>
    </w:p>
    <w:p w14:paraId="33B373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项目需求一览表</w:t>
      </w:r>
    </w:p>
    <w:tbl>
      <w:tblPr>
        <w:tblStyle w:val="16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065"/>
        <w:gridCol w:w="1030"/>
        <w:gridCol w:w="1575"/>
        <w:gridCol w:w="5091"/>
      </w:tblGrid>
      <w:tr w14:paraId="30C1D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  <w:tblHeader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85C4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54C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项目类别</w:t>
            </w: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EE4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建设阶段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AD8E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具体 </w:t>
            </w:r>
          </w:p>
          <w:p w14:paraId="4CFBD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子项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78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功能概要</w:t>
            </w:r>
          </w:p>
        </w:tc>
      </w:tr>
      <w:tr w14:paraId="1BA4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1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84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65" w:type="dxa"/>
            <w:vMerge w:val="restar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72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平台核心开发建设</w:t>
            </w: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0C4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8D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基础支撑功能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3369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多终端适配（官网、微信小程序、PC 端），搭建分级权限用户管理体系，构建全方位安全防护（符合国家网络安全法、数据安全法，含严密的身份验证、访问控制多层安全措施），含基础客服与数据管理功能，实现线下数据无缝对接；提供数据对接 API 接口，支撑与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广西壮族自治区药品监督管理局</w:t>
            </w: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相关业务系统对接；开发完成后需满足 “广西药品智慧监管平台” 等保三级和商用密码应用安全要求。</w:t>
            </w:r>
          </w:p>
        </w:tc>
      </w:tr>
      <w:tr w14:paraId="26D20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0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21B0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9DF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F0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D7E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线下培训管理功能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1D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管理端可制定发布培训计划、管理学员报名与发证；学员端可报名、查询信息与评价，实现培训数据全流程追溯。</w:t>
            </w:r>
          </w:p>
        </w:tc>
      </w:tr>
      <w:tr w14:paraId="4AE8D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9521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A752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E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01F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线上培训管理功能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CD87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搭建多品类基础课程库，支持课程学习、学时统计与电子证书发放；学员可选课学习、回看测试与查询证书。</w:t>
            </w:r>
          </w:p>
        </w:tc>
      </w:tr>
      <w:tr w14:paraId="5594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59C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DFA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151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05C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执业药师继续教育管理功能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697F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合全区执业药师施教机构学员账号，实现从管理功能中单点登录，支持审核施教机构的培训计划、学员的继续教育学时申报审核，同时与《广西专业技术人员继续教育信息管理系统》全学时提交接口互通学员学时数据。</w:t>
            </w:r>
          </w:p>
        </w:tc>
      </w:tr>
      <w:tr w14:paraId="6C21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7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CA7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1BE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14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0CFB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外部平台对接功能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DCC4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对接行业监管、施教机构等外部系统，实现核心数据同步与基础业务协同，配套标准 API 接口，保障与广西药监局相关业务系统对接兼容性。</w:t>
            </w:r>
          </w:p>
        </w:tc>
      </w:tr>
      <w:tr w14:paraId="421C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6C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65" w:type="dxa"/>
            <w:vMerge w:val="restar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7AF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平台核心开发建设</w:t>
            </w:r>
            <w:bookmarkStart w:id="0" w:name="_GoBack"/>
            <w:bookmarkEnd w:id="0"/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9E9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二期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E6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外部资源对接升级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19E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支持外部优质课程资源批量接入，实现课程信息、学习数据、学时认定数据闭环管理，拓展多系统接口适配能力，兼容与广西药监局相关业务系统的数据交互标准。</w:t>
            </w:r>
          </w:p>
        </w:tc>
      </w:tr>
      <w:tr w14:paraId="18A05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56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71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8F2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二期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36D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考试管理功能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D9A6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发布考试计划，完成报名审核、基础考务管理、命题与成绩证书管理；学员可报名、基础刷题、考试与查询成绩证书。</w:t>
            </w:r>
          </w:p>
        </w:tc>
      </w:tr>
      <w:tr w14:paraId="6B356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31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BD7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3A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二期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AC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线上培训管理功能升级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73E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优化课程库分类与检索，新增课程批量上传、多格式课件支持，完善学员学习行为分析与课程评价体系。</w:t>
            </w:r>
          </w:p>
        </w:tc>
      </w:tr>
      <w:tr w14:paraId="55E0F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719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B72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8B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二期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3DD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考试管理功能升级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7335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强化题库管理（批量导入、智能分类），新增模拟考试、成绩多维度分析，优化防作弊机制与补考管理流程。</w:t>
            </w:r>
          </w:p>
        </w:tc>
      </w:tr>
      <w:tr w14:paraId="78355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39A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E1E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C98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二期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15A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数据管理与决策支持基础版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0221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整合培训、考试、学习多维度数据，生成标准化统计报表，支持基础数据可视化展示。</w:t>
            </w:r>
          </w:p>
        </w:tc>
      </w:tr>
      <w:tr w14:paraId="7124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B5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DAD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00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三期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80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官网门户功能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A1E7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涵盖宣传、查询、服务模块，展示政务与培训信息，提供报名、查询、下载入口，支持互动咨询与多终端适配。</w:t>
            </w:r>
          </w:p>
        </w:tc>
      </w:tr>
      <w:tr w14:paraId="63773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EF2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EE9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0EF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三期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D5B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AI升级 功能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B702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智能内容推荐（基于用户标签推送课程与政策）、智能客服升级（多轮对话咨询）、智能培训管理（个性化学习路径定制）、智能排课（基础师资与适配）。</w:t>
            </w:r>
          </w:p>
        </w:tc>
      </w:tr>
      <w:tr w14:paraId="23E48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AF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65" w:type="dxa"/>
            <w:vMerge w:val="continue"/>
            <w:tcBorders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D550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EB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三期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9CA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数据管理与决策支持进阶版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29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深化数据挖掘分析，支持自定义报表生成，AI辅助招生计划制定、培训效果评估与风险预警。</w:t>
            </w:r>
          </w:p>
        </w:tc>
      </w:tr>
      <w:tr w14:paraId="5DA8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0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8046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D33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课程制作服务</w:t>
            </w: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779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839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药/械/化/食品监管及产业合规类课程制作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38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提供课程策划、拍摄、后期制作服务，成品符合高清标准与政策要求，无版权问题。</w:t>
            </w:r>
          </w:p>
        </w:tc>
      </w:tr>
      <w:tr w14:paraId="360D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A99F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65" w:type="dxa"/>
            <w:vMerge w:val="restart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A2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平台配套服务</w:t>
            </w: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B5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99B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线下数据迁移与初始化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97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迁移现有各类培训考试数据，完成清洗、校验与初始化，确保数据准确对接。</w:t>
            </w:r>
          </w:p>
        </w:tc>
      </w:tr>
      <w:tr w14:paraId="1A17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48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1DA2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50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DD0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平台测试与试点上线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B98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每期开发完成后，需完成全相关运维测试，同时开展试点运行，收集反馈优化功能，通过验收后正式上线。</w:t>
            </w:r>
          </w:p>
        </w:tc>
      </w:tr>
      <w:tr w14:paraId="0F4FE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B8F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62E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5254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263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技术培训与操作指导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5FEF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为相关人员提供全模块操作培训，配套操作手册与视频教程，提供专项技术指导。</w:t>
            </w:r>
          </w:p>
        </w:tc>
      </w:tr>
      <w:tr w14:paraId="3687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1" w:hRule="atLeast"/>
        </w:trPr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EE7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65" w:type="dxa"/>
            <w:vMerge w:val="continue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2D7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FC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C48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平台售后技术维护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416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提供 1 年免费 7×24 小时技术支持，含故障处理、性能优化、数据备份与功能适配升级，保障系统持续符合等保三级、商密安全及数据安全法要求。</w:t>
            </w:r>
          </w:p>
        </w:tc>
      </w:tr>
      <w:tr w14:paraId="668F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30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87E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6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21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项目整体要求</w:t>
            </w:r>
          </w:p>
        </w:tc>
        <w:tc>
          <w:tcPr>
            <w:tcW w:w="103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0A64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157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792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Style w:val="18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5091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9D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highlight w:val="none"/>
                <w:lang w:val="en-US" w:eastAsia="zh-CN" w:bidi="ar"/>
              </w:rPr>
              <w:t>成立专属项目团队，按实施方案开发，确保提供系统源代码、数据接口标准和技术设计文档，版权归广西壮族自治区药品监督管理局培训咨询中心所有，源代码注释率≥80%，数据库注释率 100%（含表、视图、字段、索引等），支持二次开发；确保知识产权归属项目方，系统各阶段兼容衔接，符合法律法规与行业标准，严格落实本公告明确的安全防护、API 接口等保三级及商用密码应用安全要求。</w:t>
            </w:r>
          </w:p>
        </w:tc>
      </w:tr>
      <mc:AlternateContent>
        <mc:Choice Requires="wpsCustomData">
          <wpsCustomData:docfieldEnd id="0"/>
        </mc:Choice>
      </mc:AlternateContent>
    </w:tbl>
    <w:p w14:paraId="0FCAEC7D">
      <w:pPr>
        <w:pStyle w:val="11"/>
        <w:ind w:left="0" w:leftChars="0" w:firstLine="0" w:firstLineChars="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FFE1AA-AF68-41F7-AB82-FBC98F209D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54CF787-EDE1-436E-BFB1-7FEBAC06DB4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902A5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127D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2A127D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5618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782DE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3782DE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CFC5D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FA4DC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B0DC5"/>
    <w:rsid w:val="1C7427AD"/>
    <w:rsid w:val="1DF04D4D"/>
    <w:rsid w:val="252E63EA"/>
    <w:rsid w:val="34871FC9"/>
    <w:rsid w:val="34D22426"/>
    <w:rsid w:val="366414FB"/>
    <w:rsid w:val="4302337B"/>
    <w:rsid w:val="43CA50D8"/>
    <w:rsid w:val="440D3A32"/>
    <w:rsid w:val="479E48B1"/>
    <w:rsid w:val="54332F77"/>
    <w:rsid w:val="56825BFB"/>
    <w:rsid w:val="573D0FBD"/>
    <w:rsid w:val="6B893EC4"/>
    <w:rsid w:val="6F670FD3"/>
    <w:rsid w:val="7AE1578E"/>
    <w:rsid w:val="7B5C60F0"/>
    <w:rsid w:val="7ED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character" w:customStyle="1" w:styleId="20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85cbdcef-dc7f-4d7f-9ee7-389ed4bc79bc</errorID>
      <errorWord>多层的</errorWord>
      <group>L1_AI</group>
      <groupName>深度校对</groupName>
      <ability>L2_AI_Word</ability>
      <abilityName>字词纠错</abilityName>
      <candidateList>
        <item>等多层</item>
      </candidateList>
      <explain/>
      <paraID>5BC759AB</paraID>
      <start>238</start>
      <end>241</end>
      <status>modified</status>
      <modifiedWord>等多层</modifiedWord>
      <trackRevisions>false</trackRevisions>
    </reviewItem>
    <reviewItem>
      <errorID>a4f56e76-de23-4d41-9fbc-e64ed7e4ca2e</errorID>
      <errorWord>实现</errorWord>
      <group>L1_AI</group>
      <groupName>深度校对</groupName>
      <ability>L2_AI_Word</ability>
      <abilityName>字词纠错</abilityName>
      <candidateList>
        <item>满足</item>
      </candidateList>
      <explain/>
      <paraID>5BC759AB</paraID>
      <start>294</start>
      <end>296</end>
      <status>modified</status>
      <modifiedWord>满足</modifiedWord>
      <trackRevisions>false</trackRevisions>
    </reviewItem>
    <reviewItem>
      <errorID>39cf21d0-2828-4273-8991-799dea788a00</errorID>
      <errorWord>具备有</errorWord>
      <group>L1_Word</group>
      <groupName>字词问题</groupName>
      <ability>L2_Typo</ability>
      <abilityName>字词错误</abilityName>
      <candidateList>
        <item>具备</item>
      </candidateList>
      <explain/>
      <paraID>170F9D4E</paraID>
      <start>12</start>
      <end>14</end>
      <status>modified</status>
      <modifiedWord>具备</modifiedWord>
      <trackRevisions>false</trackRevisions>
    </reviewItem>
    <reviewItem>
      <errorID>b1c016fb-f372-444f-9ecc-c378eec37f6c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763836FB</paraID>
      <start>23</start>
      <end>25</end>
      <status>modified</status>
      <modifiedWord>》《</modifiedWord>
      <trackRevisions>false</trackRevisions>
    </reviewItem>
    <reviewItem>
      <errorID>0a97e9cd-b18c-4e74-bd1b-f4dcf6ed2aa1</errorID>
      <errorWord>项目</errorWord>
      <group>L1_AI</group>
      <groupName>深度校对</groupName>
      <ability>L2_AI_Punc</ability>
      <abilityName>标点纠错</abilityName>
      <candidateList>
        <item>. 项目</item>
      </candidateList>
      <explain/>
      <paraID> 8288661</paraID>
      <start>2</start>
      <end>6</end>
      <status>modified</status>
      <modifiedWord>. 项目</modifiedWord>
      <trackRevisions>false</trackRevisions>
    </reviewItem>
    <reviewItem>
      <errorID>9b4b5b63-8f8b-4394-8401-9b3f553c808d</errorID>
      <errorWord>5827593</errorWord>
      <group>L1_AI</group>
      <groupName>深度校对</groupName>
      <ability>L2_AI_Punc</ability>
      <abilityName>标点纠错</abilityName>
      <candidateList>
        <item>5827593。</item>
      </candidateList>
      <explain/>
      <paraID>710AC04C</paraID>
      <start>71</start>
      <end>79</end>
      <status>modified</status>
      <modifiedWord>5827593。</modifiedWord>
      <trackRevisions>false</trackRevisions>
    </reviewItem>
    <reviewItem>
      <errorID>9f6faaf2-76d3-4ddb-a58c-886ee07e3459</errorID>
      <errorWord>。</errorWord>
      <group>L1_AI</group>
      <groupName>深度校对</groupName>
      <ability>L2_AI_Punc</ability>
      <abilityName>标点纠错</abilityName>
      <candidateList>
        <item>；</item>
      </candidateList>
      <explain/>
      <paraID>4E041058</paraID>
      <start>104</start>
      <end>105</end>
      <status>ignored</status>
      <modifiedWord/>
      <trackRevisions>false</trackRevisions>
    </reviewItem>
    <reviewItem>
      <errorID>bddfb311-1c1f-4510-98b4-7d3d6e806b5a</errorID>
      <errorWord>增收</errorWord>
      <group>L1_AI</group>
      <groupName>深度校对</groupName>
      <ability>L2_AI_Word</ability>
      <abilityName>字词纠错</abilityName>
      <candidateList>
        <item>收取</item>
      </candidateList>
      <explain/>
      <paraID>3F53468B</paraID>
      <start>73</start>
      <end>75</end>
      <status>modified</status>
      <modifiedWord>收取</modifiedWord>
      <trackRevisions>false</trackRevisions>
    </reviewItem>
    <reviewItem>
      <errorID>ec2b7cf3-dd92-4373-802c-4bf51e64c8bd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4B331F3B</paraID>
      <start>14</start>
      <end>15</end>
      <status>modified</status>
      <modifiedWord>须</modifiedWord>
      <trackRevisions>false</trackRevisions>
    </reviewItem>
    <reviewItem>
      <errorID>a49520d2-714c-49f1-9e2f-fb47f01b2868</errorID>
      <errorWord>、等</errorWord>
      <group>L1_Punc</group>
      <groupName>标点问题</groupName>
      <ability>L2_Punc</ability>
      <abilityName>标点符号检查</abilityName>
      <candidateList>
        <item>等</item>
      </candidateList>
      <explain>“及”“和”“等”连词前不宜使用顿号，建议删除（或使用逗号）。</explain>
      <paraID>619D18A9</paraID>
      <start>166</start>
      <end>167</end>
      <status>modified</status>
      <modifiedWord>等</modifiedWord>
      <trackRevisions>false</trackRevisions>
    </reviewItem>
    <reviewItem>
      <errorID>f0175545-0cc8-41ac-85bb-2e0f4a728005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350CCCE4</paraID>
      <start>125</start>
      <end>126</end>
      <status>ignored</status>
      <modifiedWord/>
      <trackRevisions>false</trackRevisions>
    </reviewItem>
    <reviewItem>
      <errorID>90847ef8-9561-43a6-9ac2-02881d371788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350CCCE4</paraID>
      <start>154</start>
      <end>155</end>
      <status>ignored</status>
      <modifiedWord/>
      <trackRevisions>false</trackRevisions>
    </reviewItem>
    <reviewItem>
      <errorID>9612c03a-d467-48e3-83cd-cfbc4971b890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11849D7C</paraID>
      <start>84</start>
      <end>85</end>
      <status>ignored</status>
      <modifiedWord/>
      <trackRevisions>false</trackRevisions>
    </reviewItem>
    <reviewItem>
      <errorID>811bfcf1-df45-4998-9371-389ee16024b3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11849D7C</paraID>
      <start>126</start>
      <end>127</end>
      <status>ignored</status>
      <modifiedWord/>
      <trackRevisions>false</trackRevisions>
    </reviewItem>
    <reviewItem>
      <errorID>5b360e8d-b0fb-4b16-b916-a56eacdcb98c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11849D7C</paraID>
      <start>162</start>
      <end>163</end>
      <status>ignored</status>
      <modifiedWord/>
      <trackRevisions>false</trackRevisions>
    </reviewItem>
    <reviewItem>
      <errorID>c159235b-663d-4a03-8cc0-2c34560da122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35296E7A</paraID>
      <start>104</start>
      <end>105</end>
      <status>ignored</status>
      <modifiedWord/>
      <trackRevisions>false</trackRevisions>
    </reviewItem>
    <reviewItem>
      <errorID>16b6770d-e8c5-4747-a682-e656c463858d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35296E7A</paraID>
      <start>173</start>
      <end>174</end>
      <status>ignored</status>
      <modifiedWord/>
      <trackRevisions>false</trackRevisions>
    </reviewItem>
    <reviewItem>
      <errorID>8851ec34-b161-41fb-a416-7acd3e0d1354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35296E7A</paraID>
      <start>224</start>
      <end>225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42bcb6-2b64-4482-9c9d-d56f27242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3111</Words>
  <Characters>3205</Characters>
  <Lines>0</Lines>
  <Paragraphs>0</Paragraphs>
  <TotalTime>3</TotalTime>
  <ScaleCrop>false</ScaleCrop>
  <LinksUpToDate>false</LinksUpToDate>
  <CharactersWithSpaces>3237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2026-02-25T03:48:00Z</dcterms:created>
  <dc:creator>风雨彩虹</dc:creator>
  <cp:lastModifiedBy>李霞</cp:lastModifiedBy>
  <cp:lastPrinted>2026-02-27T09:30:00Z</cp:lastPrinted>
  <dcterms:modified xsi:type="dcterms:W3CDTF">2026-02-27T09:51:17Z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4A8B8D89E7B442C683AC0839DB66FE0A_13</vt:lpwstr>
  </property>
  <property fmtid="{D5CDD505-2E9C-101B-9397-08002B2CF9AE}" pid="4" name="KSOTemplateDocerSaveRecord">
    <vt:lpwstr>eyJoZGlkIjoiNTI2MzgxMWE3NjQ4Y2NmYTNiOWRmNDJlZDhmMGRkNWQiLCJ1c2VySWQiOiIxOTU1NTMwNDUifQ==</vt:lpwstr>
  </property>
</Properties>
</file>