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AFA19"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附件1：</w:t>
      </w:r>
    </w:p>
    <w:p w14:paraId="78091183">
      <w:pPr>
        <w:spacing w:line="500" w:lineRule="exact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cs="方正小标宋简体"/>
          <w:b w:val="0"/>
          <w:vanish w:val="0"/>
          <w:kern w:val="36"/>
          <w:sz w:val="28"/>
          <w:szCs w:val="28"/>
          <w:lang w:eastAsia="zh-CN"/>
        </w:rPr>
        <w:t xml:space="preserve">                   </w:t>
      </w:r>
      <w:r>
        <w:rPr>
          <w:rFonts w:hint="eastAsia" w:ascii="方正小标宋简体" w:eastAsia="方正小标宋简体" w:cs="方正小标宋简体"/>
          <w:b w:val="0"/>
          <w:vanish w:val="0"/>
          <w:kern w:val="36"/>
          <w:sz w:val="36"/>
          <w:szCs w:val="36"/>
          <w:lang w:eastAsia="zh-CN"/>
        </w:rPr>
        <w:t xml:space="preserve">  </w:t>
      </w:r>
      <w:r>
        <w:rPr>
          <w:rFonts w:hint="eastAsia" w:ascii="方正小标宋简体" w:eastAsia="方正小标宋简体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6"/>
          <w:szCs w:val="36"/>
        </w:rPr>
        <w:t>采购需求一览表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80"/>
        <w:gridCol w:w="720"/>
        <w:gridCol w:w="718"/>
        <w:gridCol w:w="4695"/>
      </w:tblGrid>
      <w:tr w14:paraId="606F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51F83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序号</w:t>
            </w:r>
          </w:p>
        </w:tc>
        <w:tc>
          <w:tcPr>
            <w:tcW w:w="1680" w:type="dxa"/>
          </w:tcPr>
          <w:p w14:paraId="4A8CA8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服务名称</w:t>
            </w:r>
          </w:p>
        </w:tc>
        <w:tc>
          <w:tcPr>
            <w:tcW w:w="720" w:type="dxa"/>
          </w:tcPr>
          <w:p w14:paraId="17F086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数量</w:t>
            </w:r>
          </w:p>
        </w:tc>
        <w:tc>
          <w:tcPr>
            <w:tcW w:w="718" w:type="dxa"/>
          </w:tcPr>
          <w:p w14:paraId="6A6B68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单位</w:t>
            </w:r>
          </w:p>
        </w:tc>
        <w:tc>
          <w:tcPr>
            <w:tcW w:w="4695" w:type="dxa"/>
          </w:tcPr>
          <w:p w14:paraId="0C0A87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项目需求或技术参数</w:t>
            </w:r>
          </w:p>
        </w:tc>
      </w:tr>
      <w:tr w14:paraId="5410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8" w:type="dxa"/>
            <w:vAlign w:val="center"/>
          </w:tcPr>
          <w:p w14:paraId="5EC091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1</w:t>
            </w:r>
          </w:p>
        </w:tc>
        <w:tc>
          <w:tcPr>
            <w:tcW w:w="1680" w:type="dxa"/>
            <w:vAlign w:val="center"/>
          </w:tcPr>
          <w:p w14:paraId="1E15FE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 w:cs="仿宋_GB2312"/>
                <w:caps w:val="0"/>
                <w:smallCaps w:val="0"/>
                <w:vanish w:val="0"/>
                <w:color w:val="auto"/>
                <w:sz w:val="24"/>
                <w:szCs w:val="24"/>
                <w:vertAlign w:val="baseline"/>
                <w:lang w:eastAsia="zh-CN"/>
              </w:rPr>
              <w:t>广西药品安全及高质量发展“十五五”规划编制</w:t>
            </w:r>
            <w:r>
              <w:rPr>
                <w:rFonts w:hint="eastAsia" w:ascii="仿宋_GB2312" w:eastAsia="仿宋_GB2312" w:cs="仿宋_GB2312"/>
                <w:caps w:val="0"/>
                <w:smallCaps w:val="0"/>
                <w:vanish w:val="0"/>
                <w:color w:val="auto"/>
                <w:sz w:val="24"/>
                <w:szCs w:val="24"/>
                <w:vertAlign w:val="baseline"/>
              </w:rPr>
              <w:t>服务</w:t>
            </w:r>
          </w:p>
        </w:tc>
        <w:tc>
          <w:tcPr>
            <w:tcW w:w="720" w:type="dxa"/>
            <w:vAlign w:val="center"/>
          </w:tcPr>
          <w:p w14:paraId="5B5482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ascii="仿宋_GB2312" w:eastAsia="仿宋_GB2312"/>
                <w:color w:val="000000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14:paraId="1F9016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ascii="仿宋_GB2312" w:eastAsia="仿宋_GB2312"/>
                <w:color w:val="000000"/>
                <w:szCs w:val="24"/>
              </w:rPr>
              <w:t>项</w:t>
            </w:r>
          </w:p>
        </w:tc>
        <w:tc>
          <w:tcPr>
            <w:tcW w:w="4695" w:type="dxa"/>
          </w:tcPr>
          <w:p w14:paraId="03398780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/>
              <w:jc w:val="both"/>
              <w:rPr>
                <w:rFonts w:hint="eastAsia" w:ascii="黑体" w:eastAsia="黑体" w:cs="仿宋_GB2312"/>
                <w:color w:val="000000"/>
                <w:szCs w:val="24"/>
                <w:u w:val="none"/>
              </w:rPr>
            </w:pPr>
            <w:r>
              <w:rPr>
                <w:rFonts w:hint="eastAsia" w:ascii="黑体" w:eastAsia="黑体" w:cs="仿宋_GB2312"/>
                <w:color w:val="000000"/>
                <w:szCs w:val="24"/>
                <w:u w:val="none"/>
              </w:rPr>
              <w:t>服务范围</w:t>
            </w:r>
          </w:p>
          <w:p w14:paraId="4F87A7A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 w:firstLine="0"/>
              <w:jc w:val="both"/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立足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广西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药监“十四五”工作的基础和现状，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对广西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开展实地调研、座谈、调查问卷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、提供资料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等开展科学调研，收集资料、信息整理汇总分析，形成完整的广西药品监管基本信息数据。</w:t>
            </w:r>
          </w:p>
          <w:p w14:paraId="4D017F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/>
              <w:jc w:val="both"/>
              <w:rPr>
                <w:rFonts w:hint="eastAsia" w:ascii="黑体" w:eastAsia="黑体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eastAsia="黑体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二、服务要求</w:t>
            </w:r>
          </w:p>
          <w:p w14:paraId="3E535C7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exact"/>
              <w:ind w:right="0"/>
              <w:jc w:val="both"/>
              <w:rPr>
                <w:rFonts w:hint="eastAsia" w:ascii="仿宋_GB2312" w:eastAsia="仿宋_GB2312" w:cs="仿宋_GB2312"/>
                <w:color w:val="000000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以国家政策导向为指引，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Cs w:val="24"/>
                <w:highlight w:val="none"/>
                <w:lang w:val="en-US" w:eastAsia="zh-CN"/>
              </w:rPr>
              <w:t>借鉴吸收国内优秀经验，围绕完善药品安全治理体系、健全制度标准体系、规范监管执法、强化风险防控、改革创新服务、加强技术支撑能力建设、强化队伍建设、提升监管信息化水平、支持医药产业高质量发展</w:t>
            </w:r>
            <w:r>
              <w:rPr>
                <w:rFonts w:hint="eastAsia" w:ascii="仿宋_GB2312" w:eastAsia="仿宋_GB2312" w:cs="仿宋_GB2312"/>
                <w:b w:val="0"/>
                <w:bCs w:val="0"/>
                <w:strike w:val="0"/>
                <w:dstrike w:val="0"/>
                <w:color w:val="000000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Cs w:val="24"/>
                <w:highlight w:val="none"/>
                <w:lang w:val="en-US" w:eastAsia="zh-CN"/>
              </w:rPr>
              <w:t>方面提出相应体现药品监管改革</w:t>
            </w:r>
            <w:r>
              <w:rPr>
                <w:rFonts w:hint="eastAsia" w:ascii="仿宋_GB2312" w:eastAsia="仿宋_GB2312" w:cs="仿宋_GB2312"/>
                <w:b w:val="0"/>
                <w:bCs w:val="0"/>
                <w:strike/>
                <w:dstrike w:val="0"/>
                <w:color w:val="000000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Cs w:val="24"/>
                <w:highlight w:val="none"/>
                <w:lang w:val="en-US" w:eastAsia="zh-CN"/>
              </w:rPr>
              <w:t>创新精神，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研究提出“十五五”时期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eastAsia="zh-CN"/>
              </w:rPr>
              <w:t>广西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药品安全与高质量发展的指导思想、基本原则、战略定位和建设目标。</w:t>
            </w:r>
          </w:p>
          <w:p w14:paraId="614776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三、</w:t>
            </w:r>
            <w:r>
              <w:rPr>
                <w:rFonts w:ascii="黑体" w:eastAsia="黑体"/>
                <w:color w:val="000000"/>
                <w:sz w:val="24"/>
                <w:szCs w:val="24"/>
              </w:rPr>
              <w:t>报告</w:t>
            </w: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编制</w:t>
            </w:r>
            <w:r>
              <w:rPr>
                <w:rFonts w:ascii="黑体" w:eastAsia="黑体"/>
                <w:color w:val="000000"/>
                <w:sz w:val="24"/>
                <w:szCs w:val="24"/>
              </w:rPr>
              <w:t>主要</w:t>
            </w: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内容</w:t>
            </w:r>
          </w:p>
          <w:p w14:paraId="5D1573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1、“十四五”发展成效</w:t>
            </w: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。对十四五期间发展成效的总结，主要基于“十四五”规划目标完成情况进行系统阐述，同时总结自治区党委、政府的最新决策部署、国家药监局工作要求。突出具有突破性示范效应、领衔示范效应、优势示范效应、常规工作完成情况、重大项目阶段性进展等情况。成效聚焦结论性成效和数据型总结，做到系统全面、条理清晰、总结精准、亮点突出。</w:t>
            </w:r>
          </w:p>
          <w:p w14:paraId="3F2945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1.1监管工作成效</w:t>
            </w:r>
          </w:p>
          <w:p w14:paraId="79B6CA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主要围绕药品监管体制机制、法规制度标准、技术能力建设、监督执法成效等方面开展分析总结。</w:t>
            </w:r>
          </w:p>
          <w:p w14:paraId="44326C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1.2服务工作成效</w:t>
            </w:r>
          </w:p>
          <w:p w14:paraId="0CF25A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主要围绕创新服务产业政策、多部门协同政策、市场主体发展情况、研发创新进展成果、产业园区发展情况等方面开展分析总结。</w:t>
            </w:r>
          </w:p>
          <w:p w14:paraId="1F39C4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2、“十五五”发展环境及面临的问题</w:t>
            </w:r>
          </w:p>
          <w:p w14:paraId="6987DD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2.1“十五五”发展环境</w:t>
            </w:r>
          </w:p>
          <w:p w14:paraId="7448E5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一是看外部环境，找准广西药品安全及高质量发展的重点特色。二是看内部发展，找准广西药品安全及高质量发展的难点堵点。三是找自身亮点，找准广西药品安全及高质量发展的亮点机会。四是找自身不足，找准广西药品安全及高质量发展的差距需求。</w:t>
            </w:r>
          </w:p>
          <w:p w14:paraId="666539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2.2“十五五”发展面临的问题</w:t>
            </w:r>
          </w:p>
          <w:p w14:paraId="75C5C5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于“十五五”发展环境的分析，强调通过实地调研开展问题收集，据实了解监管一线、产业一线所面临的发展难题，问题主要聚焦现代化药品监管能力建设情况、药品监管层面和市场发展层面的资源能力匹配情况、新型药品监管服务模式建设情况等。</w:t>
            </w:r>
          </w:p>
          <w:p w14:paraId="218485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3、“十五五”发展目标</w:t>
            </w:r>
          </w:p>
          <w:p w14:paraId="51DE4A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发展目标与战略定位和阶段性任务密切相关。围绕省委、省政府的决策部署和目标定位，结合广西药监局十五五时期的发展基础和工作目标，开展定性、定量发展指标的系统谋划。</w:t>
            </w:r>
          </w:p>
          <w:p w14:paraId="3E927A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3.1“十五五”时期主要目标</w:t>
            </w:r>
          </w:p>
          <w:p w14:paraId="225779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计划围绕监管治理体系、法规标准体系、规范监管执法、改革创新服务、技术支撑能力、监管信息化水平这六个方面谋划“十五五”期间的主要工作，对上述六项均需要提出定性的目标性要求，保障责任落实有方向。</w:t>
            </w:r>
          </w:p>
          <w:p w14:paraId="4B4B0F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3.2“十五五”时期量化目标</w:t>
            </w:r>
          </w:p>
          <w:p w14:paraId="606DC5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围绕“主要目标”细化各领域目标，以“强制性”“预期性”两类目标量化方式开展，目标制定均以数值明确提出，保障责任落实有要求。如制定出台监管协调制度性文件数量、产业创新服务政策数量、国家级职业化专业化检查员数量等。</w:t>
            </w:r>
          </w:p>
          <w:p w14:paraId="72EE6F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4、“十五五”重点任务及重大项目</w:t>
            </w:r>
          </w:p>
          <w:p w14:paraId="00C5B4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基于发展目标和药监职能开展重点任务举措的梳理，明确部分重大工程项目，以项目为抓手、以举措为依托保障各项工作稳步落实。</w:t>
            </w:r>
          </w:p>
          <w:p w14:paraId="4135A4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4.1完善监管治理体系，构建药品监管长效机制</w:t>
            </w:r>
          </w:p>
          <w:p w14:paraId="690C70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完善监管协调机制，打造事权明晰的药品监管“广西模式”。完善药品安全责任体系，规范有效落实监管责任。完善产业链风险会商程序，形成常态化药品安全防护机制。完善社会共治体系。</w:t>
            </w:r>
          </w:p>
          <w:p w14:paraId="21F5E0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4.2完善法规标准体系，坚持药品监管以良法促善治</w:t>
            </w:r>
          </w:p>
          <w:p w14:paraId="5DB8C7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健全法治建设体系，不断加强广西法治政府建设。加强法规制度宣贯，不断提升药品监管普法工作实效。健全质量标准体系，推动“广西标准”达到全国先进水平。</w:t>
            </w:r>
          </w:p>
          <w:p w14:paraId="3A8C17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4.3严格规范监管执法，打造全生命周期药品监管链条</w:t>
            </w:r>
          </w:p>
          <w:p w14:paraId="44D18E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持续深化药品全过程监管，坚守质量安全“生命线”。强化提升重点领域监管力度，聚焦质量安全突出问题。提升稽查执法水平，着力打造公正规范的稽查执法环境。加大执法办案力度，健全统一联动的执法办案工作机制。</w:t>
            </w:r>
          </w:p>
          <w:p w14:paraId="18EEB7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4.4深化改革创新服务，推动医药产业高质量发展</w:t>
            </w:r>
          </w:p>
          <w:p w14:paraId="405FD9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持续深化改革创新，丰富促进产业高质量发展的政策供给。深化审评审批制度改革，持续提高审评审批便利度服务产业创新发展。促进中医药传承创新，做大做强做优广西中药壮瑶药产业。支持引育新动能，打造中国－东盟跨境产业集群。鼓励跨区域产业融合，助力产业汇聚新质生产力。</w:t>
            </w:r>
          </w:p>
          <w:p w14:paraId="08B9EA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4.5提升技术支撑能力，适应广西药品产业发展特点</w:t>
            </w:r>
          </w:p>
          <w:p w14:paraId="60D662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深入开展监管科学研究，赋能新时代药品监管决策。提升技术审评能力，建设国内先进审评认证中心。强化检验检测能力，建立国内一流检验检测机构。完善不良反应监测评价体系，争创全国药物警戒示范区。推进人才队伍建设，打造业务精湛的药品监管“广西铁军”。    </w:t>
            </w:r>
          </w:p>
          <w:p w14:paraId="3788C7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4.6提升监管信息化水平，推动发挥智慧监管精准效能</w:t>
            </w:r>
          </w:p>
          <w:p w14:paraId="31E760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加快推进智慧监管数字化基础平台建设。升级完善智慧监管应用平台建设应用。保障推动重点品种全过程可追溯建设。</w:t>
            </w:r>
          </w:p>
          <w:p w14:paraId="4F429305">
            <w:pPr>
              <w:spacing w:line="360" w:lineRule="exact"/>
              <w:ind w:left="0"/>
              <w:rPr>
                <w:rFonts w:hint="eastAsia" w:ascii="仿宋_GB2312" w:eastAsia="仿宋_GB2312"/>
                <w:b/>
                <w:bCs w:val="0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Cs w:val="24"/>
                <w:lang w:val="en-US" w:eastAsia="zh-CN"/>
              </w:rPr>
              <w:t>5、保障措施</w:t>
            </w:r>
          </w:p>
          <w:p w14:paraId="0D8820C1">
            <w:pPr>
              <w:spacing w:line="360" w:lineRule="exact"/>
              <w:ind w:left="0"/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  <w:t>5.1组织保障（强化政治建设、正风肃纪）</w:t>
            </w:r>
          </w:p>
          <w:p w14:paraId="75B9F415">
            <w:pPr>
              <w:spacing w:line="360" w:lineRule="exact"/>
              <w:ind w:left="0"/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  <w:t>5.2机制保障（严格责任落实、追踪评估）</w:t>
            </w:r>
          </w:p>
          <w:p w14:paraId="252C6EB7">
            <w:pPr>
              <w:spacing w:line="360" w:lineRule="exact"/>
              <w:ind w:left="0"/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  <w:lang w:val="en-US" w:eastAsia="zh-CN"/>
              </w:rPr>
              <w:t>5.3政策保障（保障资源匹配、探索改革）</w:t>
            </w:r>
          </w:p>
          <w:p w14:paraId="1517DE50">
            <w:pPr>
              <w:pStyle w:val="3"/>
              <w:spacing w:after="0" w:line="360" w:lineRule="exact"/>
              <w:ind w:left="0"/>
              <w:rPr>
                <w:rFonts w:hint="eastAsia" w:asci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5.4环境保障（支持交流合作、社会共治）</w:t>
            </w:r>
          </w:p>
        </w:tc>
      </w:tr>
      <w:tr w14:paraId="4908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1" w:type="dxa"/>
            <w:gridSpan w:val="5"/>
          </w:tcPr>
          <w:p w14:paraId="2755BB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hint="eastAsia"/>
                <w:b/>
                <w:bCs/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商务条款及其他要求</w:t>
            </w:r>
            <w:r>
              <w:rPr>
                <w:b/>
                <w:bCs/>
                <w:color w:val="000000"/>
                <w:szCs w:val="24"/>
              </w:rPr>
              <w:t>：</w:t>
            </w:r>
          </w:p>
        </w:tc>
      </w:tr>
      <w:tr w14:paraId="55FA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8" w:type="dxa"/>
            <w:gridSpan w:val="2"/>
            <w:vAlign w:val="center"/>
          </w:tcPr>
          <w:p w14:paraId="4CEACB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报价要求</w:t>
            </w:r>
          </w:p>
        </w:tc>
        <w:tc>
          <w:tcPr>
            <w:tcW w:w="6133" w:type="dxa"/>
            <w:gridSpan w:val="3"/>
          </w:tcPr>
          <w:p w14:paraId="25C13647">
            <w:pPr>
              <w:spacing w:line="360" w:lineRule="exact"/>
              <w:ind w:left="0"/>
              <w:rPr>
                <w:rFonts w:hint="eastAsia" w:ascii="仿宋_GB2312" w:eastAsia="仿宋_GB2312" w:cs="仿宋_GB2312"/>
                <w:b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本项目报价采用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  <w:u w:val="single"/>
              </w:rPr>
              <w:t>总价包干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的方式，报价人的报价应包括：工</w:t>
            </w:r>
            <w:r>
              <w:rPr>
                <w:rFonts w:hint="eastAsia" w:ascii="仿宋_GB2312" w:eastAsia="仿宋_GB2312" w:cs="仿宋_GB2312"/>
                <w:bCs/>
                <w:color w:val="000000"/>
                <w:szCs w:val="24"/>
                <w:highlight w:val="none"/>
              </w:rPr>
              <w:t>作人员</w:t>
            </w:r>
            <w:r>
              <w:rPr>
                <w:rFonts w:hint="eastAsia" w:ascii="仿宋_GB2312" w:eastAsia="仿宋_GB2312" w:cs="仿宋_GB2312"/>
                <w:bCs/>
                <w:color w:val="000000"/>
                <w:szCs w:val="24"/>
                <w:highlight w:val="none"/>
                <w:lang w:eastAsia="zh-CN"/>
              </w:rPr>
              <w:t>的报酬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、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  <w:lang w:eastAsia="zh-CN"/>
              </w:rPr>
              <w:t>专家劳务费、调研费用、资料使用费、办公费、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税费、管理费</w:t>
            </w:r>
            <w:r>
              <w:rPr>
                <w:rFonts w:ascii="仿宋_GB2312" w:eastAsia="仿宋_GB2312" w:cs="仿宋_GB2312"/>
                <w:bCs/>
                <w:color w:val="auto"/>
                <w:szCs w:val="24"/>
                <w:highlight w:val="none"/>
              </w:rPr>
              <w:t>、验收费</w:t>
            </w:r>
            <w:r>
              <w:rPr>
                <w:rFonts w:hint="eastAsia" w:ascii="仿宋_GB2312" w:eastAsia="仿宋_GB2312" w:cs="仿宋_GB2312"/>
                <w:bCs/>
                <w:color w:val="auto"/>
                <w:szCs w:val="24"/>
                <w:highlight w:val="none"/>
              </w:rPr>
              <w:t>等一切相关费用。成交人漏报项目或报价中漏报、少报的费用，视为此项费用已包含在报价总价中，成交后不得再向采购人收取任何费用。成交人应充分考虑影响报价的各种因素和风险，采购人不再支付成交金额以外的任何费用。</w:t>
            </w:r>
          </w:p>
        </w:tc>
      </w:tr>
      <w:tr w14:paraId="7124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88" w:type="dxa"/>
            <w:gridSpan w:val="2"/>
            <w:vAlign w:val="center"/>
          </w:tcPr>
          <w:p w14:paraId="29DB7B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服务期限及地点</w:t>
            </w:r>
          </w:p>
        </w:tc>
        <w:tc>
          <w:tcPr>
            <w:tcW w:w="6133" w:type="dxa"/>
            <w:gridSpan w:val="3"/>
          </w:tcPr>
          <w:p w14:paraId="556110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contextualSpacing w:val="0"/>
              <w:jc w:val="both"/>
              <w:textAlignment w:val="auto"/>
              <w:rPr>
                <w:rFonts w:ascii="Times New Roman" w:hAnsi="Times New Roman" w:eastAsia="仿宋_GB2312" w:cs="Times New Roman"/>
                <w:vanish w:val="0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1、服务期限：签订合同之日起至202</w:t>
            </w:r>
            <w:r>
              <w:rPr>
                <w:rFonts w:hint="default" w:ascii="Times New Roman" w:eastAsia="仿宋_GB2312" w:cs="Times New Roman"/>
                <w:vanish w:val="0"/>
                <w:kern w:val="2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年</w:t>
            </w:r>
            <w:r>
              <w:rPr>
                <w:rFonts w:hint="default" w:ascii="Times New Roman" w:eastAsia="仿宋_GB2312" w:cs="Times New Roman"/>
                <w:vanish w:val="0"/>
                <w:kern w:val="2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月3</w:t>
            </w:r>
            <w:r>
              <w:rPr>
                <w:rFonts w:hint="default" w:ascii="Times New Roman" w:eastAsia="仿宋_GB2312" w:cs="Times New Roman"/>
                <w:vanish w:val="0"/>
                <w:kern w:val="2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日止。</w:t>
            </w:r>
          </w:p>
          <w:p w14:paraId="6A3028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color w:val="000000"/>
                <w:sz w:val="21"/>
              </w:rPr>
            </w:pPr>
            <w:r>
              <w:rPr>
                <w:rFonts w:ascii="Times New Roman" w:hAnsi="Times New Roman" w:eastAsia="仿宋_GB2312" w:cs="Times New Roman"/>
                <w:vanish w:val="0"/>
                <w:kern w:val="2"/>
                <w:sz w:val="24"/>
                <w:szCs w:val="24"/>
              </w:rPr>
              <w:t>2、交货地点：南宁市指定地点。</w:t>
            </w:r>
          </w:p>
        </w:tc>
      </w:tr>
      <w:tr w14:paraId="32C3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88" w:type="dxa"/>
            <w:gridSpan w:val="2"/>
            <w:vAlign w:val="center"/>
          </w:tcPr>
          <w:p w14:paraId="3E5681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提交成果的具体形式</w:t>
            </w:r>
          </w:p>
        </w:tc>
        <w:tc>
          <w:tcPr>
            <w:tcW w:w="6133" w:type="dxa"/>
            <w:gridSpan w:val="3"/>
            <w:vAlign w:val="center"/>
          </w:tcPr>
          <w:p w14:paraId="4338DC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contextualSpacing w:val="0"/>
              <w:jc w:val="both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vanish w:val="0"/>
                <w:szCs w:val="24"/>
                <w:lang w:eastAsia="zh-CN"/>
              </w:rPr>
              <w:t>1.《广西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mallCaps w:val="0"/>
                <w:vanish w:val="0"/>
                <w:szCs w:val="24"/>
                <w:vertAlign w:val="baseline"/>
                <w:lang w:eastAsia="zh-CN"/>
              </w:rPr>
              <w:t>药品安全及高质量发展“十五五”规划》1份</w:t>
            </w:r>
            <w:r>
              <w:rPr>
                <w:rFonts w:ascii="仿宋_GB2312" w:eastAsia="仿宋_GB2312" w:cs="仿宋_GB2312"/>
                <w:b w:val="0"/>
                <w:bCs w:val="0"/>
                <w:caps w:val="0"/>
                <w:smallCaps w:val="0"/>
                <w:vanish w:val="0"/>
                <w:szCs w:val="24"/>
                <w:vertAlign w:val="baseline"/>
                <w:lang w:eastAsia="zh-CN"/>
              </w:rPr>
              <w:t>（含编制说明、实施方案）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smallCaps w:val="0"/>
                <w:vanish w:val="0"/>
                <w:szCs w:val="24"/>
                <w:vertAlign w:val="baseline"/>
                <w:lang w:eastAsia="zh-CN"/>
              </w:rPr>
              <w:t>。</w:t>
            </w:r>
          </w:p>
        </w:tc>
      </w:tr>
      <w:tr w14:paraId="692F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8" w:type="dxa"/>
            <w:gridSpan w:val="2"/>
            <w:vAlign w:val="center"/>
          </w:tcPr>
          <w:p w14:paraId="059C17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付款方式</w:t>
            </w:r>
          </w:p>
        </w:tc>
        <w:tc>
          <w:tcPr>
            <w:tcW w:w="6133" w:type="dxa"/>
            <w:gridSpan w:val="3"/>
          </w:tcPr>
          <w:p w14:paraId="67AB490E">
            <w:pPr>
              <w:pStyle w:val="4"/>
              <w:adjustRightInd w:val="0"/>
              <w:snapToGrid w:val="0"/>
              <w:spacing w:line="360" w:lineRule="exact"/>
              <w:ind w:left="0" w:firstLine="0"/>
              <w:rPr>
                <w:rFonts w:hint="eastAsia" w:ascii="仿宋_GB2312" w:eastAsia="仿宋_GB2312" w:cs="FangSong_GB2312"/>
              </w:rPr>
            </w:pPr>
            <w:r>
              <w:rPr>
                <w:rFonts w:hint="eastAsia" w:ascii="仿宋_GB2312" w:eastAsia="仿宋_GB2312" w:cs="FangSong_GB2312"/>
              </w:rPr>
              <w:t>在合同签订后1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0</w:t>
            </w:r>
            <w:r>
              <w:rPr>
                <w:rFonts w:hint="eastAsia" w:ascii="仿宋_GB2312" w:eastAsia="仿宋_GB2312" w:cs="FangSong_GB2312"/>
              </w:rPr>
              <w:t>个工作日内支付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服务</w:t>
            </w:r>
            <w:r>
              <w:rPr>
                <w:rFonts w:hint="eastAsia" w:ascii="仿宋_GB2312" w:eastAsia="仿宋_GB2312" w:cs="FangSong_GB2312"/>
              </w:rPr>
              <w:t>费用的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50%</w:t>
            </w:r>
            <w:r>
              <w:rPr>
                <w:rFonts w:hint="eastAsia" w:ascii="仿宋_GB2312" w:eastAsia="仿宋_GB2312" w:cs="FangSong_GB2312"/>
              </w:rPr>
              <w:t>；提交报告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初稿</w:t>
            </w:r>
            <w:r>
              <w:rPr>
                <w:rFonts w:hint="eastAsia" w:ascii="仿宋_GB2312" w:eastAsia="仿宋_GB2312" w:cs="FangSong_GB2312"/>
              </w:rPr>
              <w:t>后1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0</w:t>
            </w:r>
            <w:r>
              <w:rPr>
                <w:rFonts w:hint="eastAsia" w:ascii="仿宋_GB2312" w:eastAsia="仿宋_GB2312" w:cs="FangSong_GB2312"/>
              </w:rPr>
              <w:t>个工作日内支付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服务</w:t>
            </w:r>
            <w:r>
              <w:rPr>
                <w:rFonts w:hint="eastAsia" w:ascii="仿宋_GB2312" w:eastAsia="仿宋_GB2312" w:cs="FangSong_GB2312"/>
              </w:rPr>
              <w:t>费用的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25%</w:t>
            </w:r>
            <w:r>
              <w:rPr>
                <w:rFonts w:hint="eastAsia" w:ascii="仿宋_GB2312" w:eastAsia="仿宋_GB2312" w:cs="FangSong_GB2312"/>
                <w:lang w:eastAsia="zh-CN"/>
              </w:rPr>
              <w:t>；</w:t>
            </w:r>
            <w:r>
              <w:rPr>
                <w:rFonts w:hint="eastAsia" w:ascii="仿宋_GB2312" w:eastAsia="仿宋_GB2312" w:cs="FangSong_GB2312"/>
              </w:rPr>
              <w:t>最终报告通过验收后一个月内付清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服务</w:t>
            </w:r>
            <w:r>
              <w:rPr>
                <w:rFonts w:hint="eastAsia" w:ascii="仿宋_GB2312" w:eastAsia="仿宋_GB2312" w:cs="FangSong_GB2312"/>
              </w:rPr>
              <w:t>费用余</w:t>
            </w:r>
            <w:r>
              <w:rPr>
                <w:rFonts w:hint="eastAsia" w:ascii="仿宋_GB2312" w:eastAsia="仿宋_GB2312" w:cs="FangSong_GB2312"/>
                <w:lang w:val="en-US" w:eastAsia="zh-CN"/>
              </w:rPr>
              <w:t>款25%</w:t>
            </w:r>
            <w:r>
              <w:rPr>
                <w:rFonts w:hint="eastAsia" w:ascii="仿宋_GB2312" w:eastAsia="仿宋_GB2312" w:cs="FangSong_GB2312"/>
              </w:rPr>
              <w:t>。</w:t>
            </w:r>
          </w:p>
        </w:tc>
      </w:tr>
      <w:tr w14:paraId="0CF5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88" w:type="dxa"/>
            <w:gridSpan w:val="2"/>
            <w:vAlign w:val="center"/>
          </w:tcPr>
          <w:p w14:paraId="1B89A8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/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知识产权</w:t>
            </w:r>
          </w:p>
        </w:tc>
        <w:tc>
          <w:tcPr>
            <w:tcW w:w="6133" w:type="dxa"/>
            <w:gridSpan w:val="3"/>
          </w:tcPr>
          <w:p w14:paraId="0ACBA9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4"/>
              </w:rPr>
              <w:t>本项目涉及的规划报告</w:t>
            </w:r>
            <w:r>
              <w:rPr>
                <w:rFonts w:hint="eastAsia" w:ascii="仿宋_GB2312" w:eastAsia="仿宋_GB2312" w:cs="Times New Roman"/>
                <w:color w:val="auto"/>
                <w:szCs w:val="24"/>
                <w:lang w:eastAsia="zh-CN"/>
              </w:rPr>
              <w:t>、编制成果</w:t>
            </w:r>
            <w:r>
              <w:rPr>
                <w:rFonts w:hint="eastAsia" w:ascii="仿宋_GB2312" w:eastAsia="仿宋_GB2312" w:cs="Times New Roman"/>
                <w:color w:val="auto"/>
                <w:szCs w:val="24"/>
              </w:rPr>
              <w:t>，成交人不得以任何形式提供给第三方。</w:t>
            </w:r>
          </w:p>
        </w:tc>
      </w:tr>
      <w:tr w14:paraId="1F82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88" w:type="dxa"/>
            <w:gridSpan w:val="2"/>
            <w:vAlign w:val="center"/>
          </w:tcPr>
          <w:p w14:paraId="6EC8A8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b/>
                <w:bCs/>
                <w:color w:val="000000"/>
                <w:sz w:val="21"/>
              </w:rPr>
              <w:t>保密要求</w:t>
            </w:r>
          </w:p>
        </w:tc>
        <w:tc>
          <w:tcPr>
            <w:tcW w:w="6133" w:type="dxa"/>
            <w:gridSpan w:val="3"/>
          </w:tcPr>
          <w:p w14:paraId="71821F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hint="eastAsia" w:ascii="仿宋_GB2312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成交人有保密的责任和义务，未经采购人许可，不允许向第三方透露。</w:t>
            </w:r>
          </w:p>
        </w:tc>
      </w:tr>
    </w:tbl>
    <w:p w14:paraId="7A4B0A17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0470941C"/>
    <w:p w14:paraId="72CEB6BA">
      <w:pPr>
        <w:pStyle w:val="2"/>
      </w:pPr>
    </w:p>
    <w:p w14:paraId="592E2154"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附件2：</w:t>
      </w:r>
    </w:p>
    <w:p w14:paraId="2B1B63FC">
      <w:pPr>
        <w:spacing w:line="500" w:lineRule="exact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  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报价函</w:t>
      </w:r>
    </w:p>
    <w:p w14:paraId="445F5C23"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</w:p>
    <w:p w14:paraId="2196756B">
      <w:pPr>
        <w:spacing w:line="560" w:lineRule="exact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广西壮族自治区</w:t>
      </w:r>
      <w:r>
        <w:rPr>
          <w:rFonts w:ascii="仿宋_GB2312" w:eastAsia="仿宋_GB2312" w:cs="仿宋_GB2312"/>
          <w:bCs/>
          <w:kern w:val="0"/>
          <w:sz w:val="32"/>
          <w:szCs w:val="32"/>
          <w:lang w:eastAsia="zh-CN"/>
        </w:rPr>
        <w:t>药品监督管理局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：</w:t>
      </w:r>
    </w:p>
    <w:p w14:paraId="787C646B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cs="仿宋_GB2312"/>
          <w:bCs/>
          <w:kern w:val="0"/>
          <w:sz w:val="32"/>
          <w:szCs w:val="32"/>
        </w:rPr>
        <w:t>一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、本报价人愿意按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比选（询价）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文件及有关资料的要求承接</w:t>
      </w:r>
      <w:r>
        <w:rPr>
          <w:rFonts w:hint="eastAsia" w:ascii="仿宋_GB2312" w:eastAsia="仿宋_GB2312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32"/>
          <w:szCs w:val="32"/>
        </w:rPr>
        <w:t>××项目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。本报价人针对该项目费用的报价为（大写: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）（小写：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），实际合同费用以本次报价单价和实际数量结算。支付方式按本项目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价文件和合同书的规定执行。</w:t>
      </w:r>
    </w:p>
    <w:p w14:paraId="4A96CEF9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二、报价人承诺按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价文件及有关资料的要求完成本项目的工作任务。</w:t>
      </w:r>
    </w:p>
    <w:p w14:paraId="4F17513F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三、本报价人所递交的报价文件在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价文件规定的报价有效期限内有效，本报价人如中选，将受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比</w:t>
      </w: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价文件的约束。</w:t>
      </w:r>
    </w:p>
    <w:p w14:paraId="38A50088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</w:p>
    <w:p w14:paraId="6E28EB14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</w:p>
    <w:p w14:paraId="4BB5DE43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报  价  人（公章）：</w:t>
      </w:r>
    </w:p>
    <w:p w14:paraId="3763522E">
      <w:pPr>
        <w:spacing w:line="560" w:lineRule="exact"/>
        <w:ind w:firstLine="64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法定代表人或委托代理人（签字或签章）：</w:t>
      </w:r>
    </w:p>
    <w:p w14:paraId="5AFA3EC0">
      <w:pPr>
        <w:spacing w:line="560" w:lineRule="exact"/>
        <w:ind w:firstLine="640"/>
        <w:rPr>
          <w:rFonts w:hint="eastAsia" w:ascii="仿宋_GB2312" w:eastAsia="仿宋_GB2312" w:cs="仿宋_GB2312"/>
          <w:bCs/>
          <w:kern w:val="0"/>
          <w:sz w:val="32"/>
          <w:szCs w:val="32"/>
        </w:rPr>
      </w:pPr>
    </w:p>
    <w:p w14:paraId="6CCDA5F2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年   月   日</w:t>
      </w:r>
    </w:p>
    <w:p w14:paraId="0DFF32B1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4121278B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04022963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0666AED6">
      <w:pPr>
        <w:tabs>
          <w:tab w:val="left" w:pos="7560"/>
        </w:tabs>
        <w:spacing w:line="560" w:lineRule="exact"/>
        <w:ind w:firstLine="4838"/>
        <w:rPr>
          <w:rFonts w:ascii="仿宋_GB2312" w:eastAsia="仿宋_GB2312" w:cs="仿宋_GB2312"/>
          <w:bCs/>
          <w:kern w:val="0"/>
          <w:sz w:val="32"/>
          <w:szCs w:val="32"/>
        </w:rPr>
      </w:pPr>
    </w:p>
    <w:p w14:paraId="5EDE4F3F">
      <w:pPr>
        <w:pStyle w:val="2"/>
      </w:pPr>
    </w:p>
    <w:p w14:paraId="7249B839">
      <w:pPr>
        <w:jc w:val="both"/>
        <w:rPr>
          <w:rFonts w:hint="eastAsia" w:ascii="仿宋_GB2312" w:eastAsia="仿宋_GB2312" w:cs="方正小标宋简体"/>
          <w:bCs/>
          <w:kern w:val="0"/>
          <w:sz w:val="32"/>
          <w:szCs w:val="32"/>
        </w:rPr>
      </w:pPr>
      <w:r>
        <w:rPr>
          <w:rFonts w:hint="eastAsia" w:ascii="仿宋_GB2312" w:eastAsia="仿宋_GB2312" w:cs="方正小标宋简体"/>
          <w:bCs/>
          <w:kern w:val="0"/>
          <w:sz w:val="32"/>
          <w:szCs w:val="32"/>
        </w:rPr>
        <w:t>附件</w:t>
      </w:r>
      <w:r>
        <w:rPr>
          <w:rFonts w:ascii="仿宋_GB2312" w:eastAsia="仿宋_GB2312" w:cs="方正小标宋简体"/>
          <w:bCs/>
          <w:kern w:val="0"/>
          <w:sz w:val="32"/>
          <w:szCs w:val="32"/>
        </w:rPr>
        <w:t>3</w:t>
      </w:r>
      <w:r>
        <w:rPr>
          <w:rFonts w:hint="eastAsia" w:ascii="仿宋_GB2312" w:eastAsia="仿宋_GB2312" w:cs="方正小标宋简体"/>
          <w:bCs/>
          <w:kern w:val="0"/>
          <w:sz w:val="32"/>
          <w:szCs w:val="32"/>
        </w:rPr>
        <w:t>：</w:t>
      </w:r>
    </w:p>
    <w:p w14:paraId="64A1DD70">
      <w:pPr>
        <w:ind w:firstLine="3520" w:firstLineChars="800"/>
        <w:jc w:val="both"/>
        <w:rPr>
          <w:rFonts w:hint="eastAsia" w:ascii="方正小标宋简体" w:eastAsia="方正小标宋简体" w:cs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bCs/>
          <w:kern w:val="0"/>
          <w:sz w:val="44"/>
          <w:szCs w:val="44"/>
        </w:rPr>
        <w:t>报价</w:t>
      </w:r>
      <w:r>
        <w:rPr>
          <w:rFonts w:hint="eastAsia" w:ascii="方正小标宋简体" w:eastAsia="方正小标宋简体" w:cs="方正小标宋简体"/>
          <w:bCs/>
          <w:kern w:val="0"/>
          <w:sz w:val="44"/>
          <w:szCs w:val="44"/>
          <w:lang w:eastAsia="zh-CN"/>
        </w:rPr>
        <w:t>表</w:t>
      </w:r>
    </w:p>
    <w:p w14:paraId="4693C32C">
      <w:pPr>
        <w:spacing w:line="580" w:lineRule="exact"/>
        <w:jc w:val="center"/>
        <w:rPr>
          <w:rFonts w:hint="eastAsia" w:asci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8"/>
        <w:tblW w:w="9480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6"/>
        <w:gridCol w:w="3044"/>
        <w:gridCol w:w="1065"/>
        <w:gridCol w:w="855"/>
        <w:gridCol w:w="1680"/>
        <w:gridCol w:w="600"/>
      </w:tblGrid>
      <w:tr w14:paraId="2D1B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720" w:type="dxa"/>
            <w:noWrap/>
            <w:vAlign w:val="center"/>
          </w:tcPr>
          <w:p w14:paraId="16E72B1F">
            <w:pPr>
              <w:widowControl w:val="0"/>
              <w:jc w:val="center"/>
              <w:rPr>
                <w:rFonts w:hint="eastAsia" w:ascii="宋体" w:eastAsia="宋体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516" w:type="dxa"/>
            <w:noWrap/>
            <w:vAlign w:val="center"/>
          </w:tcPr>
          <w:p w14:paraId="67B0366D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服务</w:t>
            </w:r>
            <w:r>
              <w:rPr>
                <w:rFonts w:ascii="宋体" w:eastAsia="宋体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（货物）</w:t>
            </w: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3044" w:type="dxa"/>
            <w:noWrap/>
            <w:vAlign w:val="center"/>
          </w:tcPr>
          <w:p w14:paraId="459A2699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内容和要求</w:t>
            </w:r>
          </w:p>
        </w:tc>
        <w:tc>
          <w:tcPr>
            <w:tcW w:w="1065" w:type="dxa"/>
            <w:noWrap/>
            <w:vAlign w:val="center"/>
          </w:tcPr>
          <w:p w14:paraId="310AA906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  <w:p w14:paraId="187427BB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  <w:lang w:val="en-US" w:eastAsia="zh-CN" w:bidi="ar-SA"/>
              </w:rPr>
              <w:t>①</w:t>
            </w:r>
          </w:p>
        </w:tc>
        <w:tc>
          <w:tcPr>
            <w:tcW w:w="855" w:type="dxa"/>
            <w:noWrap/>
            <w:vAlign w:val="center"/>
          </w:tcPr>
          <w:p w14:paraId="383989F7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  <w:r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(</w:t>
            </w: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元</w:t>
            </w:r>
            <w:r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)</w:t>
            </w:r>
          </w:p>
          <w:p w14:paraId="070C6264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②</w:t>
            </w:r>
          </w:p>
        </w:tc>
        <w:tc>
          <w:tcPr>
            <w:tcW w:w="1680" w:type="dxa"/>
            <w:noWrap/>
            <w:vAlign w:val="center"/>
          </w:tcPr>
          <w:p w14:paraId="7840108D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单项合价（元）</w:t>
            </w:r>
          </w:p>
          <w:p w14:paraId="6AC42AA8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③＝①×②</w:t>
            </w:r>
          </w:p>
        </w:tc>
        <w:tc>
          <w:tcPr>
            <w:tcW w:w="600" w:type="dxa"/>
            <w:noWrap/>
            <w:vAlign w:val="center"/>
          </w:tcPr>
          <w:p w14:paraId="12FED27D">
            <w:pPr>
              <w:widowControl w:val="0"/>
              <w:jc w:val="center"/>
              <w:rPr>
                <w:rFonts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Arial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1A3D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20" w:type="dxa"/>
            <w:noWrap/>
            <w:vAlign w:val="center"/>
          </w:tcPr>
          <w:p w14:paraId="174A6B60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493C7BD2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4" w:type="dxa"/>
            <w:noWrap/>
            <w:vAlign w:val="center"/>
          </w:tcPr>
          <w:p w14:paraId="2C321AD2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noWrap/>
            <w:vAlign w:val="center"/>
          </w:tcPr>
          <w:p w14:paraId="1248BB12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5" w:type="dxa"/>
            <w:noWrap/>
            <w:vAlign w:val="center"/>
          </w:tcPr>
          <w:p w14:paraId="7A7E4963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0" w:type="dxa"/>
            <w:noWrap/>
            <w:vAlign w:val="center"/>
          </w:tcPr>
          <w:p w14:paraId="7E2F37B1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 w14:paraId="268F167F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CC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noWrap/>
            <w:vAlign w:val="center"/>
          </w:tcPr>
          <w:p w14:paraId="4ADE663A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516" w:type="dxa"/>
            <w:noWrap/>
            <w:vAlign w:val="center"/>
          </w:tcPr>
          <w:p w14:paraId="5262503A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4" w:type="dxa"/>
            <w:noWrap/>
            <w:vAlign w:val="center"/>
          </w:tcPr>
          <w:p w14:paraId="15F66F44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noWrap/>
            <w:vAlign w:val="center"/>
          </w:tcPr>
          <w:p w14:paraId="75F8EA97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5" w:type="dxa"/>
            <w:noWrap/>
            <w:vAlign w:val="center"/>
          </w:tcPr>
          <w:p w14:paraId="5306D154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0" w:type="dxa"/>
            <w:noWrap/>
            <w:vAlign w:val="center"/>
          </w:tcPr>
          <w:p w14:paraId="76DD337C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 w14:paraId="7AFE529F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95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20" w:type="dxa"/>
            <w:noWrap/>
            <w:vAlign w:val="center"/>
          </w:tcPr>
          <w:p w14:paraId="7E9FEF11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Arial" w:cs="Times New Roman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516" w:type="dxa"/>
            <w:noWrap/>
            <w:vAlign w:val="center"/>
          </w:tcPr>
          <w:p w14:paraId="11C11EEA">
            <w:pPr>
              <w:jc w:val="center"/>
              <w:rPr>
                <w:rFonts w:ascii="宋体" w:hAnsi="宋体" w:eastAsia="Arial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044" w:type="dxa"/>
            <w:noWrap/>
            <w:vAlign w:val="center"/>
          </w:tcPr>
          <w:p w14:paraId="22DEA430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65" w:type="dxa"/>
            <w:noWrap/>
            <w:vAlign w:val="center"/>
          </w:tcPr>
          <w:p w14:paraId="2191D456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5" w:type="dxa"/>
            <w:noWrap/>
            <w:vAlign w:val="center"/>
          </w:tcPr>
          <w:p w14:paraId="2115DC73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0" w:type="dxa"/>
            <w:noWrap/>
            <w:vAlign w:val="center"/>
          </w:tcPr>
          <w:p w14:paraId="422C8888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00" w:type="dxa"/>
            <w:noWrap/>
            <w:vAlign w:val="center"/>
          </w:tcPr>
          <w:p w14:paraId="6E688FB4">
            <w:pPr>
              <w:widowControl w:val="0"/>
              <w:jc w:val="both"/>
              <w:rPr>
                <w:rFonts w:ascii="宋体" w:hAnsi="宋体" w:eastAsia="Arial" w:cs="Times New Roman"/>
                <w:color w:val="auto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466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9480" w:type="dxa"/>
            <w:gridSpan w:val="7"/>
            <w:noWrap/>
            <w:vAlign w:val="center"/>
          </w:tcPr>
          <w:p w14:paraId="62EF346D">
            <w:pPr>
              <w:widowControl w:val="0"/>
              <w:jc w:val="both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报价合计（包含税费等所有费用）：（大写）人民币      （￥        元）</w:t>
            </w:r>
          </w:p>
        </w:tc>
      </w:tr>
      <w:tr w14:paraId="2A0B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 w14:paraId="6D56A8D3">
            <w:pPr>
              <w:widowControl w:val="0"/>
              <w:jc w:val="left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报价人（公章）：</w:t>
            </w:r>
          </w:p>
        </w:tc>
      </w:tr>
      <w:tr w14:paraId="23AE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 w14:paraId="323397C5">
            <w:pPr>
              <w:widowControl w:val="0"/>
              <w:jc w:val="left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法定代表人或其委托代理人（签字或盖章）：</w:t>
            </w:r>
          </w:p>
        </w:tc>
      </w:tr>
      <w:tr w14:paraId="5243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480" w:type="dxa"/>
            <w:gridSpan w:val="7"/>
            <w:noWrap/>
            <w:vAlign w:val="center"/>
          </w:tcPr>
          <w:p w14:paraId="31A91ABD">
            <w:pPr>
              <w:widowControl w:val="0"/>
              <w:jc w:val="left"/>
              <w:rPr>
                <w:rFonts w:hint="eastAsia" w:ascii="仿宋_GB2312" w:eastAsia="仿宋_GB2312" w:cs="Times New Roman"/>
                <w:color w:val="auto"/>
                <w:spacing w:val="-6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日 期：</w:t>
            </w:r>
            <w:r>
              <w:rPr>
                <w:rFonts w:ascii="仿宋_GB2312" w:eastAsia="仿宋_GB2312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年     月     日</w:t>
            </w:r>
          </w:p>
        </w:tc>
      </w:tr>
    </w:tbl>
    <w:p w14:paraId="70549DD9">
      <w:pPr>
        <w:spacing w:line="500" w:lineRule="exact"/>
        <w:ind w:left="17" w:leftChars="7" w:firstLine="472" w:firstLineChars="168"/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1.表格内容均须按要求填写并盖章，不得留空（备注栏无备注内容的，应填“无”），否则按报价无效处理。</w:t>
      </w:r>
    </w:p>
    <w:p w14:paraId="6191FD67">
      <w:pPr>
        <w:spacing w:line="500" w:lineRule="exact"/>
        <w:ind w:left="17" w:leftChars="7" w:firstLine="470" w:firstLineChars="168"/>
        <w:rPr>
          <w:rFonts w:hint="eastAsia" w:ascii="仿宋_GB2312" w:eastAsia="仿宋_GB2312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2.供应商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必须就“采购需求一览表”中服务内容作完整唯一报价，否则，其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eastAsia="zh-CN"/>
        </w:rPr>
        <w:t>报价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将被拒绝。响应文件只允许有一个报价，有选择的或有条件的报价将不予接受。</w:t>
      </w:r>
    </w:p>
    <w:p w14:paraId="4076C72A">
      <w:pPr>
        <w:spacing w:line="500" w:lineRule="exact"/>
        <w:ind w:left="17" w:leftChars="7" w:firstLine="470" w:firstLineChars="168"/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报价表须由法定代表人或委托代理人签名（或盖章）并加盖供应商公章。报价若此表由多页构成的，需逐页加盖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  <w:lang w:eastAsia="zh-CN"/>
        </w:rPr>
        <w:t>报价人</w:t>
      </w:r>
      <w:r>
        <w:rPr>
          <w:rFonts w:hint="eastAsia" w:ascii="仿宋_GB2312" w:eastAsia="仿宋_GB2312" w:cs="宋体"/>
          <w:color w:val="auto"/>
          <w:kern w:val="0"/>
          <w:sz w:val="28"/>
          <w:szCs w:val="28"/>
          <w:highlight w:val="none"/>
        </w:rPr>
        <w:t>公章并由法定代表人或委托代理人签名。</w:t>
      </w:r>
    </w:p>
    <w:p w14:paraId="76BBE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rPr>
          <w:rFonts w:hint="eastAsia" w:ascii="仿宋_GB2312" w:eastAsia="仿宋_GB2312" w:cs="仿宋_GB2312"/>
          <w:b w:val="0"/>
          <w:bCs w:val="0"/>
          <w:kern w:val="0"/>
          <w:sz w:val="28"/>
          <w:szCs w:val="28"/>
          <w:lang w:val="en-US" w:eastAsia="zh-CN" w:bidi="hi-IN"/>
        </w:rPr>
      </w:pPr>
    </w:p>
    <w:p w14:paraId="623BFA42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 w14:paraId="0913AC80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 w14:paraId="5BB34DFF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</w:p>
    <w:p w14:paraId="36AD22F2">
      <w:pPr>
        <w:pStyle w:val="2"/>
      </w:pPr>
    </w:p>
    <w:p w14:paraId="25A995A6"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附件4</w:t>
      </w:r>
    </w:p>
    <w:p w14:paraId="6AF4EF4F">
      <w:pPr>
        <w:tabs>
          <w:tab w:val="left" w:pos="7560"/>
        </w:tabs>
        <w:spacing w:line="560" w:lineRule="exact"/>
        <w:ind w:left="0" w:firstLine="3080" w:firstLineChars="700"/>
      </w:pPr>
      <w:r>
        <w:rPr>
          <w:rFonts w:hint="eastAsia" w:ascii="方正小标宋简体" w:eastAsia="方正小标宋简体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  <w:lang w:eastAsia="zh-CN"/>
        </w:rPr>
        <w:t>比选</w:t>
      </w:r>
      <w:r>
        <w:rPr>
          <w:rFonts w:ascii="方正小标宋简体" w:eastAsia="方正小标宋简体"/>
          <w:b w:val="0"/>
          <w:i w:val="0"/>
          <w:iCs w:val="0"/>
          <w:caps w:val="0"/>
          <w:smallCaps w:val="0"/>
          <w:vanish w:val="0"/>
          <w:color w:val="000000"/>
          <w:spacing w:val="0"/>
          <w:kern w:val="36"/>
          <w:sz w:val="44"/>
          <w:szCs w:val="44"/>
        </w:rPr>
        <w:t>办法</w:t>
      </w:r>
    </w:p>
    <w:tbl>
      <w:tblPr>
        <w:tblStyle w:val="8"/>
        <w:tblpPr w:leftFromText="180" w:rightFromText="180" w:vertAnchor="text" w:horzAnchor="page" w:tblpX="1699" w:tblpY="945"/>
        <w:tblOverlap w:val="never"/>
        <w:tblW w:w="953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812"/>
        <w:gridCol w:w="5321"/>
      </w:tblGrid>
      <w:tr w14:paraId="2CC21FC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Header/>
        </w:trPr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D2896E0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  <w:lang w:bidi="ar-SA"/>
              </w:rPr>
              <w:t>评定内容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4C73AEB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分值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5096BFD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标准</w:t>
            </w:r>
          </w:p>
        </w:tc>
      </w:tr>
    </w:tbl>
    <w:tbl>
      <w:tblPr>
        <w:tblStyle w:val="8"/>
        <w:tblpPr w:leftFromText="180" w:rightFromText="180" w:vertAnchor="text" w:horzAnchor="page" w:tblpX="1714" w:tblpY="1647"/>
        <w:tblOverlap w:val="never"/>
        <w:tblW w:w="9535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2065"/>
        <w:gridCol w:w="812"/>
        <w:gridCol w:w="5321"/>
      </w:tblGrid>
      <w:tr w14:paraId="684713F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8FFC85F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价格分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15F5068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最低价为基准价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9943187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99CEB68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contextualSpacing w:val="0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满足招标采购要求的最低报价为基准价（财政部令第87号令明确规定“有可能影响产品质量或者不能诚信履约的”作为无效投标处理。），其得分为20分。价格得分 =（基准价÷最后报价）×20分。</w:t>
            </w:r>
          </w:p>
        </w:tc>
      </w:tr>
      <w:tr w14:paraId="463A788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6B8CB74C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方案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1150A5C5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实施方案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8C42787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 w14:paraId="0C4D431C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一档（0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：未提供项目实施方案的不得分。</w:t>
            </w:r>
          </w:p>
          <w:p w14:paraId="2D41AAD5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二档（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）：项目实施方案基本满足采购需求的“项目要求及技术需求”内容，方案工作措施、工作方法不具体；人员配置、工作经验、工作手段、工作流程基本合理，可操作性不强。</w:t>
            </w:r>
          </w:p>
          <w:p w14:paraId="070F7434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三档（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项目实施方案满足购需求的“项目要求及技术需求”全部内容，方案的工作措施、工作方法具体可行且依据项目具体情况采取有效的措施，符合规范要求；人员配置合理、有相关工作经验，工作手段、工作流程科学，可操作性较强。</w:t>
            </w:r>
          </w:p>
          <w:p w14:paraId="58FB6BC1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四档（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项目实施方案满足采购需求的“项目要求及技术需求”全部内容，方案的工作措施、工作方法先进、有效、且依据项目具体情况采取有针对性的措施，符合规范要求；人员配置充足、工作经验丰富，工作手段、工作流程计划科学、安排合理，可操作性强，对项目有保障。</w:t>
            </w:r>
          </w:p>
          <w:p w14:paraId="213330FC">
            <w:pPr>
              <w:pStyle w:val="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五档（</w:t>
            </w:r>
            <w:r>
              <w:rPr>
                <w:rFonts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>30</w:t>
            </w: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  <w:lang w:eastAsia="zh-CN"/>
              </w:rPr>
              <w:t xml:space="preserve">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  <w:lang w:eastAsia="zh-CN"/>
              </w:rPr>
              <w:t>：项目实施方案完全满足采购需求的“项目要求及技术需求”全部内容，方案的工作措施、工作方法先进、科学、成熟且依据项目具体情况采取有针对性的措施、措施详细完整，符合规范要求；人员配置充足、安排合理、工作经验丰富、能力强，工作手段、工作流程计划科学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理、安排紧凑合理，可操作性强，对项目保障力度大。</w:t>
            </w:r>
          </w:p>
        </w:tc>
      </w:tr>
      <w:tr w14:paraId="5513780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DCCADBD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技术方案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51B4332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lang w:val="en-US"/>
              </w:rPr>
              <w:t>质量控制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628F994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D53C3B1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一档（0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：未提供项目质量控制方案的不得分。</w:t>
            </w:r>
          </w:p>
          <w:p w14:paraId="7B0BC656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二档（5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：项目进度控制措施（包含项目时间安排、各项工作进度计划、业务管理及内部服务等内容）、质量控制措施、安全保证机制、数据安全保密方案等内容描述沉杂，较为笼统、欠缺。</w:t>
            </w:r>
          </w:p>
          <w:p w14:paraId="19BDA6BF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三档（10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：项目进度控制措施（包含项目时间安排、各项工作进度计划、业务管理及内部服务等内容）、质量控制措施合理；数据检查、质量把控以及反馈纠错措施可行；安全保证和数据保密机制可行。</w:t>
            </w:r>
          </w:p>
          <w:p w14:paraId="50304293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四档（15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科学、全面；项目过程的质量控制有保障机制；数据检查、质量控制以及反馈纠错措施完善；安全保证和数据保密机制可行、有效。</w:t>
            </w:r>
          </w:p>
          <w:p w14:paraId="514FC4F3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textAlignment w:val="auto"/>
              <w:rPr>
                <w:rFonts w:hint="eastAsia" w:ascii="仿宋_GB2312" w:eastAsia="仿宋_GB2312"/>
                <w:bCs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4"/>
              </w:rPr>
              <w:t>五档（20 分）</w:t>
            </w:r>
            <w:r>
              <w:rPr>
                <w:rFonts w:hint="eastAsia" w:ascii="仿宋_GB2312" w:eastAsia="仿宋_GB2312" w:cs="Times New Roman"/>
                <w:b w:val="0"/>
                <w:bCs/>
                <w:sz w:val="24"/>
                <w:szCs w:val="24"/>
              </w:rPr>
              <w:t>：项目进度控制措施（包含项目时间安排、各项工作进度计划、业务管理及内部服务等内容）科学、具体、完善；项目全过程的质量控制保障机制规范有效；数据检查及时，质量控制以及反馈纠错措施完善；安全保证和数据保密机制切实可行、措施效果明显。</w:t>
            </w:r>
          </w:p>
        </w:tc>
      </w:tr>
      <w:tr w14:paraId="35E1C57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5E1FED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团队服务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475E60CF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人员构成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549BD99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CA0E128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/>
              <w:jc w:val="both"/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1.拟投入本项目的实施人员具有正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高级职称的每人得5分，此项最多得10分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；副高职称的每人得4分，此项最多得8分；</w:t>
            </w:r>
          </w:p>
          <w:p w14:paraId="3F6836BA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360" w:lineRule="exact"/>
              <w:ind w:left="0"/>
              <w:jc w:val="both"/>
              <w:rPr>
                <w:rFonts w:ascii="Times New Roman" w:hAnsi="Times New Roman" w:eastAsia="仿宋_GB2312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2.拟投入本项目的实施人员具有5年以上相关经验的，每提供一人得2分，此项最多得10分；3年以上相关经验的，每提供一人得1分，此项最多得8分。</w:t>
            </w:r>
          </w:p>
        </w:tc>
      </w:tr>
      <w:tr w14:paraId="4F1C328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0DFF552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其他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AD3725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Autospacing="0" w:afterAutospacing="0" w:line="36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项目业绩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14CFF0C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1E5212">
            <w:pPr>
              <w:pStyle w:val="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both"/>
              <w:textAlignment w:val="auto"/>
              <w:rPr>
                <w:rFonts w:ascii="Times New Roman" w:hAnsi="Times New Roman" w:eastAsia="仿宋_GB2312" w:cs="Times New Roman"/>
                <w:b w:val="0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3年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以来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有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相同或类似项目业绩的每个得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分，满分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分。（提供合同或中标（成交）通知书复印件加盖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单位公章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4D0862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DE060A3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合</w:t>
            </w:r>
            <w:r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计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86A2DF6">
            <w:pPr>
              <w:pStyle w:val="7"/>
              <w:keepNext/>
              <w:keepLines w:val="0"/>
              <w:widowControl w:val="0"/>
              <w:suppressLineNumbers w:val="0"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bidi="ar-SA"/>
              </w:rPr>
              <w:t>100</w:t>
            </w:r>
          </w:p>
        </w:tc>
        <w:tc>
          <w:tcPr>
            <w:tcW w:w="5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F4FC505">
            <w:pPr>
              <w:keepNext/>
              <w:keepLines w:val="0"/>
              <w:widowControl w:val="0"/>
              <w:suppressLineNumbers w:val="0"/>
              <w:spacing w:line="560" w:lineRule="exact"/>
              <w:ind w:firstLine="480" w:firstLineChars="200"/>
              <w:jc w:val="center"/>
              <w:rPr>
                <w:rFonts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</w:tbl>
    <w:p w14:paraId="3D6EC67E"/>
    <w:p w14:paraId="63F171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08788"/>
    <w:multiLevelType w:val="multilevel"/>
    <w:tmpl w:val="F7B08788"/>
    <w:lvl w:ilvl="0" w:tentative="0">
      <w:start w:val="1"/>
      <w:numFmt w:val="chineseCountingThousand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C3B10"/>
    <w:rsid w:val="048C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spacing w:line="312" w:lineRule="auto"/>
      <w:ind w:firstLine="540"/>
      <w:jc w:val="both"/>
    </w:pPr>
    <w:rPr>
      <w:rFonts w:ascii="楷体_GB2312" w:hAnsi="Times New Roman" w:eastAsia="楷体_GB2312" w:cs="楷体_GB2312"/>
      <w:kern w:val="2"/>
      <w:sz w:val="24"/>
      <w:szCs w:val="24"/>
      <w:lang w:val="en-US" w:eastAsia="zh-CN" w:bidi="ar-SA"/>
    </w:rPr>
  </w:style>
  <w:style w:type="paragraph" w:styleId="5">
    <w:name w:val="index 7"/>
    <w:basedOn w:val="1"/>
    <w:next w:val="1"/>
    <w:qFormat/>
    <w:uiPriority w:val="0"/>
    <w:pPr>
      <w:ind w:left="2520"/>
    </w:pPr>
    <w:rPr>
      <w:rFonts w:ascii="黑体" w:eastAsia="黑体"/>
      <w:sz w:val="32"/>
      <w:szCs w:val="32"/>
    </w:rPr>
  </w:style>
  <w:style w:type="paragraph" w:styleId="6">
    <w:name w:val="Plain Text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2025-05-26T08:22:00Z</dcterms:created>
  <dc:creator>泱</dc:creator>
  <cp:lastModifiedBy>泱</cp:lastModifiedBy>
  <dcterms:modified xsi:type="dcterms:W3CDTF">2025-05-26T08:22:22Z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1CA71B5D5A234624A63B3B84376B5788_11</vt:lpwstr>
  </property>
  <property fmtid="{D5CDD505-2E9C-101B-9397-08002B2CF9AE}" pid="4" name="KSOTemplateDocerSaveRecord">
    <vt:lpwstr>eyJoZGlkIjoiZjJjMmFiMDZkYjEyZjg3MDBhY2QwOWE5ZDQ2N2EyOTYiLCJ1c2VySWQiOiIzMzM3OTU4NjIifQ==</vt:lpwstr>
  </property>
</Properties>
</file>